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3A1" w:rsidRDefault="00FA43A1" w:rsidP="00FA43A1">
      <w:pPr>
        <w:pStyle w:val="NormaleWeb"/>
        <w:spacing w:before="0" w:beforeAutospacing="0" w:after="0" w:afterAutospacing="0"/>
        <w:jc w:val="center"/>
        <w:rPr>
          <w:rFonts w:asciiTheme="minorHAnsi" w:eastAsiaTheme="minorEastAsia" w:hAnsi="Calibri" w:cstheme="minorBidi"/>
          <w:b/>
          <w:bCs/>
          <w:kern w:val="24"/>
          <w:sz w:val="36"/>
          <w:szCs w:val="36"/>
          <w14:shadow w14:blurRad="38100" w14:dist="38100" w14:dir="2700000" w14:sx="100000" w14:sy="100000" w14:kx="0" w14:ky="0" w14:algn="tl">
            <w14:srgbClr w14:val="000000">
              <w14:alpha w14:val="57000"/>
            </w14:srgbClr>
          </w14:shadow>
        </w:rPr>
      </w:pPr>
      <w:proofErr w:type="gramStart"/>
      <w:r>
        <w:rPr>
          <w:rFonts w:asciiTheme="minorHAnsi" w:eastAsiaTheme="minorEastAsia" w:hAnsi="Calibri" w:cstheme="minorBidi"/>
          <w:b/>
          <w:bCs/>
          <w:kern w:val="24"/>
          <w:sz w:val="36"/>
          <w:szCs w:val="36"/>
          <w14:shadow w14:blurRad="38100" w14:dist="38100" w14:dir="2700000" w14:sx="100000" w14:sy="100000" w14:kx="0" w14:ky="0" w14:algn="tl">
            <w14:srgbClr w14:val="000000">
              <w14:alpha w14:val="57000"/>
            </w14:srgbClr>
          </w14:shadow>
        </w:rPr>
        <w:t>ELEMENTI  DI</w:t>
      </w:r>
      <w:proofErr w:type="gramEnd"/>
      <w:r>
        <w:rPr>
          <w:rFonts w:asciiTheme="minorHAnsi" w:eastAsiaTheme="minorEastAsia" w:hAnsi="Calibri" w:cstheme="minorBidi"/>
          <w:b/>
          <w:bCs/>
          <w:kern w:val="24"/>
          <w:sz w:val="36"/>
          <w:szCs w:val="36"/>
          <w14:shadow w14:blurRad="38100" w14:dist="38100" w14:dir="2700000" w14:sx="100000" w14:sy="100000" w14:kx="0" w14:ky="0" w14:algn="tl">
            <w14:srgbClr w14:val="000000">
              <w14:alpha w14:val="57000"/>
            </w14:srgbClr>
          </w14:shadow>
        </w:rPr>
        <w:t xml:space="preserve">  ENDODONZIA </w:t>
      </w:r>
      <w:r w:rsidRPr="00FA43A1">
        <w:rPr>
          <w:rFonts w:asciiTheme="minorHAnsi" w:eastAsiaTheme="minorEastAsia" w:hAnsi="Calibri" w:cstheme="minorBidi"/>
          <w:b/>
          <w:bCs/>
          <w:kern w:val="24"/>
          <w:sz w:val="36"/>
          <w:szCs w:val="36"/>
          <w14:shadow w14:blurRad="38100" w14:dist="38100" w14:dir="2700000" w14:sx="100000" w14:sy="100000" w14:kx="0" w14:ky="0" w14:algn="tl">
            <w14:srgbClr w14:val="000000">
              <w14:alpha w14:val="57000"/>
            </w14:srgbClr>
          </w14:shadow>
        </w:rPr>
        <w:t>E  TECNICHE DI  ASSISTENZA</w:t>
      </w:r>
    </w:p>
    <w:p w:rsidR="00FA43A1" w:rsidRDefault="00FA43A1" w:rsidP="00FA43A1">
      <w:pPr>
        <w:rPr>
          <w:rFonts w:eastAsiaTheme="minorEastAsia" w:hAnsi="Calibri"/>
          <w:b/>
          <w:bCs/>
          <w:kern w:val="24"/>
          <w:sz w:val="36"/>
          <w:szCs w:val="36"/>
          <w:lang w:eastAsia="it-IT"/>
          <w14:shadow w14:blurRad="38100" w14:dist="38100" w14:dir="2700000" w14:sx="100000" w14:sy="100000" w14:kx="0" w14:ky="0" w14:algn="tl">
            <w14:srgbClr w14:val="000000">
              <w14:alpha w14:val="57000"/>
            </w14:srgbClr>
          </w14:shadow>
        </w:rPr>
      </w:pPr>
      <w:r>
        <w:rPr>
          <w:rFonts w:eastAsiaTheme="minorEastAsia" w:hAnsi="Calibri"/>
          <w:b/>
          <w:bCs/>
          <w:kern w:val="24"/>
          <w:sz w:val="36"/>
          <w:szCs w:val="36"/>
          <w:lang w:eastAsia="it-IT"/>
          <w14:shadow w14:blurRad="38100" w14:dist="38100" w14:dir="2700000" w14:sx="100000" w14:sy="100000" w14:kx="0" w14:ky="0" w14:algn="tl">
            <w14:srgbClr w14:val="000000">
              <w14:alpha w14:val="57000"/>
            </w14:srgbClr>
          </w14:shadow>
        </w:rPr>
        <w:t xml:space="preserve">                         </w:t>
      </w:r>
    </w:p>
    <w:p w:rsidR="00FA43A1" w:rsidRDefault="00FA43A1" w:rsidP="00FA43A1">
      <w:pPr>
        <w:rPr>
          <w:sz w:val="24"/>
        </w:rPr>
      </w:pPr>
      <w:proofErr w:type="gramStart"/>
      <w:r w:rsidRPr="00FA43A1">
        <w:rPr>
          <w:sz w:val="24"/>
        </w:rPr>
        <w:t>Dottor  Gianluigi</w:t>
      </w:r>
      <w:proofErr w:type="gramEnd"/>
      <w:r w:rsidRPr="00FA43A1">
        <w:rPr>
          <w:sz w:val="24"/>
        </w:rPr>
        <w:t xml:space="preserve"> Naccarato        Medico  Chirurgo    Odontoiatra</w:t>
      </w:r>
    </w:p>
    <w:p w:rsidR="00FA43A1" w:rsidRPr="00FA43A1" w:rsidRDefault="00FA43A1" w:rsidP="00FA43A1">
      <w:pPr>
        <w:rPr>
          <w:sz w:val="24"/>
        </w:rPr>
      </w:pPr>
    </w:p>
    <w:p w:rsidR="00FA43A1" w:rsidRPr="00FA43A1" w:rsidRDefault="00FA43A1" w:rsidP="00FA43A1">
      <w:r w:rsidRPr="00FA43A1">
        <w:t>L'endodonzia è la branca dell'odontostomatologia che tratta della morfologia, fisiologia e patologia della polpa dentale e dei tessuti di sostegno periradicolari dell’elemento dentale.</w:t>
      </w:r>
    </w:p>
    <w:p w:rsidR="00FA43A1" w:rsidRPr="00FA43A1" w:rsidRDefault="00FA43A1" w:rsidP="00FA43A1">
      <w:r w:rsidRPr="00FA43A1">
        <w:t>L’area di azione della disciplina endodontica, a titolo indicativo ma non limitativo, comprende:</w:t>
      </w:r>
    </w:p>
    <w:p w:rsidR="009D4EF3" w:rsidRPr="00FA43A1" w:rsidRDefault="00AD46FD" w:rsidP="00FA43A1">
      <w:pPr>
        <w:numPr>
          <w:ilvl w:val="0"/>
          <w:numId w:val="1"/>
        </w:numPr>
      </w:pPr>
      <w:proofErr w:type="gramStart"/>
      <w:r w:rsidRPr="00FA43A1">
        <w:t>la</w:t>
      </w:r>
      <w:proofErr w:type="gramEnd"/>
      <w:r w:rsidRPr="00FA43A1">
        <w:t xml:space="preserve"> diagnosi del dolore oro-facciale di origine odontogena, sia esso pulpare e/o periradicolare;</w:t>
      </w:r>
    </w:p>
    <w:p w:rsidR="009D4EF3" w:rsidRPr="00FA43A1" w:rsidRDefault="00AD46FD" w:rsidP="00FA43A1">
      <w:pPr>
        <w:numPr>
          <w:ilvl w:val="0"/>
          <w:numId w:val="1"/>
        </w:numPr>
      </w:pPr>
      <w:proofErr w:type="gramStart"/>
      <w:r w:rsidRPr="00FA43A1">
        <w:t>la</w:t>
      </w:r>
      <w:proofErr w:type="gramEnd"/>
      <w:r w:rsidRPr="00FA43A1">
        <w:t xml:space="preserve"> terapia delle affezioni patologiche della polpa vitale;</w:t>
      </w:r>
    </w:p>
    <w:p w:rsidR="00FA43A1" w:rsidRPr="00FA43A1" w:rsidRDefault="00FA43A1" w:rsidP="00FA43A1">
      <w:r w:rsidRPr="00FA43A1">
        <w:t>- il trattamento non chirurgico di eradicazione della polpa dei                                                                              sistemi canalari e l'otturazione ermetica corono-radicolare di tali sistemi;</w:t>
      </w:r>
    </w:p>
    <w:p w:rsidR="00FA43A1" w:rsidRPr="00FA43A1" w:rsidRDefault="00FA43A1" w:rsidP="00FA43A1">
      <w:r w:rsidRPr="00FA43A1">
        <w:t xml:space="preserve">- l'asportazione selettiva chirurgica dei tessuti </w:t>
      </w:r>
      <w:proofErr w:type="spellStart"/>
      <w:r w:rsidRPr="00FA43A1">
        <w:t>pulpo</w:t>
      </w:r>
      <w:proofErr w:type="spellEnd"/>
      <w:r w:rsidRPr="00FA43A1">
        <w:t>-dentinali malati e                                                                            le procedure di riparazione ad essa collegate;</w:t>
      </w:r>
    </w:p>
    <w:p w:rsidR="00FA43A1" w:rsidRDefault="00FA43A1" w:rsidP="00FA43A1">
      <w:r w:rsidRPr="00FA43A1">
        <w:t>- il re-impianto dei denti avulsi in modo traumatico;</w:t>
      </w:r>
    </w:p>
    <w:p w:rsidR="009D4EF3" w:rsidRPr="00FA43A1" w:rsidRDefault="00AD46FD" w:rsidP="00FA43A1">
      <w:pPr>
        <w:numPr>
          <w:ilvl w:val="0"/>
          <w:numId w:val="2"/>
        </w:numPr>
      </w:pPr>
      <w:proofErr w:type="gramStart"/>
      <w:r w:rsidRPr="00FA43A1">
        <w:t>il</w:t>
      </w:r>
      <w:proofErr w:type="gramEnd"/>
      <w:r w:rsidRPr="00FA43A1">
        <w:t xml:space="preserve"> trattamento chirurgico delle patologie settiche acute e/o croniche dei tessuti periradicolari attraverso l’amputazione della parte radicolare apicale (apicectomia) seguita o meno dall'otturazione retrograda del canale radicolare residuo;</w:t>
      </w:r>
    </w:p>
    <w:p w:rsidR="009D4EF3" w:rsidRPr="00FA43A1" w:rsidRDefault="00AD46FD" w:rsidP="00FA43A1">
      <w:pPr>
        <w:numPr>
          <w:ilvl w:val="0"/>
          <w:numId w:val="2"/>
        </w:numPr>
      </w:pPr>
      <w:proofErr w:type="gramStart"/>
      <w:r w:rsidRPr="00FA43A1">
        <w:t>le</w:t>
      </w:r>
      <w:proofErr w:type="gramEnd"/>
      <w:r w:rsidRPr="00FA43A1">
        <w:t xml:space="preserve"> procedure per produrre uno sbiancamento intracoronale della dentina e dello smalto;  </w:t>
      </w:r>
    </w:p>
    <w:p w:rsidR="009D4EF3" w:rsidRPr="00FA43A1" w:rsidRDefault="00AD46FD" w:rsidP="00FA43A1">
      <w:pPr>
        <w:numPr>
          <w:ilvl w:val="0"/>
          <w:numId w:val="2"/>
        </w:numPr>
      </w:pPr>
      <w:proofErr w:type="gramStart"/>
      <w:r w:rsidRPr="00FA43A1">
        <w:t>il</w:t>
      </w:r>
      <w:proofErr w:type="gramEnd"/>
      <w:r w:rsidRPr="00FA43A1">
        <w:t xml:space="preserve"> trattamento dei denti precedentemente sottoposti a trattamento endodontico attraverso metodiche ricostruttive idonee;</w:t>
      </w:r>
    </w:p>
    <w:p w:rsidR="009D4EF3" w:rsidRPr="00FA43A1" w:rsidRDefault="00AD46FD" w:rsidP="00FA43A1">
      <w:pPr>
        <w:numPr>
          <w:ilvl w:val="0"/>
          <w:numId w:val="2"/>
        </w:numPr>
      </w:pPr>
      <w:proofErr w:type="gramStart"/>
      <w:r w:rsidRPr="00FA43A1">
        <w:t>le</w:t>
      </w:r>
      <w:proofErr w:type="gramEnd"/>
      <w:r w:rsidRPr="00FA43A1">
        <w:t xml:space="preserve"> procedure di trattamento connesse alle ricostruzioni coronali mediante perni e/o monconi con interessamento dello spazio del/dei canale/i radicolare/i;</w:t>
      </w:r>
    </w:p>
    <w:p w:rsidR="00FA43A1" w:rsidRDefault="00FA43A1" w:rsidP="00FA43A1">
      <w:r w:rsidRPr="00FA43A1">
        <w:t>-   il ritrattamento dei denti precedentemente sottoposti a trattamento endodontico non giunto a buon fine.</w:t>
      </w:r>
    </w:p>
    <w:p w:rsidR="00FA43A1" w:rsidRPr="00FA43A1" w:rsidRDefault="00FA43A1" w:rsidP="00FA43A1">
      <w:r w:rsidRPr="00FA43A1">
        <w:t xml:space="preserve">L’esame clinico intra-orale attraverso l’apprezzamento delle obiettività (osservazione, palpazione, percussione) è volto, oltre all’osservazione della problematica prettamente endodontica, alla verifica del livello di igiene orale, delle condizioni della mucosa orale, della situazione parodontale, dell’eventuale presenza di tumefazioni, di fistole o di altre lesioni. </w:t>
      </w:r>
    </w:p>
    <w:p w:rsidR="00FA43A1" w:rsidRPr="00FA43A1" w:rsidRDefault="00FA43A1" w:rsidP="00FA43A1">
      <w:r w:rsidRPr="00FA43A1">
        <w:t>Sarà anche importante riportare il numero degli elementi dentari presenti, la loro condizione, la quantità e il grado di usura dei restauri, ove presenti.</w:t>
      </w:r>
    </w:p>
    <w:p w:rsidR="00FA43A1" w:rsidRPr="00FA43A1" w:rsidRDefault="00FA43A1" w:rsidP="00FA43A1">
      <w:r w:rsidRPr="00FA43A1">
        <w:t xml:space="preserve">Quindi, l’esame clinico intra-orale dovrà essere associato ad indagini diagnostiche quali: prove di mobilità, sondaggio parodontale, analisi occlusale, verifica di eventuali linee di microfrattura dentarie, prove di vitalità attraverso esami che prevedano sollecitazioni termiche (freddo, caldo) e/o elettrici </w:t>
      </w:r>
    </w:p>
    <w:p w:rsidR="00FA43A1" w:rsidRPr="00FA43A1" w:rsidRDefault="00FA43A1" w:rsidP="00FA43A1">
      <w:r w:rsidRPr="00FA43A1">
        <w:t>Per il test si utilizza della guttaperca calda, o un tester di vitalità pulpare: in un dente sano si ha solo la sensazione del calore che svanisce quando la fonte viene allontanata. Se il dente è affetto da pulpite il dolore può essere fortissimo e persistente, anche dopo l’allontanamento della fonte di calore.</w:t>
      </w:r>
    </w:p>
    <w:p w:rsidR="00FA43A1" w:rsidRPr="00FA43A1" w:rsidRDefault="00FA43A1" w:rsidP="00FA43A1">
      <w:r w:rsidRPr="00FA43A1">
        <w:t xml:space="preserve">Sono fondamentali gli esami radiografici endorali con radiografie periapicali (generalmente usando la tecnica dei raggi paralleli, meglio se facendo uso di centratori). </w:t>
      </w:r>
    </w:p>
    <w:p w:rsidR="00FA43A1" w:rsidRPr="00FA43A1" w:rsidRDefault="00FA43A1" w:rsidP="00FA43A1">
      <w:r w:rsidRPr="00FA43A1">
        <w:t xml:space="preserve">A tal proposito, le radiografie possono richiedere l’utilizzo di più di un’angolazione e, a volte, si rende necessario, per avere un quadro diagnostico più preciso, completare l’indagine con radiografie tipo </w:t>
      </w:r>
      <w:proofErr w:type="spellStart"/>
      <w:r w:rsidRPr="00FA43A1">
        <w:t>bitewing</w:t>
      </w:r>
      <w:proofErr w:type="spellEnd"/>
      <w:r w:rsidRPr="00FA43A1">
        <w:t xml:space="preserve"> e/o occlusali.</w:t>
      </w:r>
    </w:p>
    <w:p w:rsidR="00FA43A1" w:rsidRPr="00FA43A1" w:rsidRDefault="00FA43A1" w:rsidP="00FA43A1">
      <w:r w:rsidRPr="00FA43A1">
        <w:lastRenderedPageBreak/>
        <w:t>A giudizio dell'odontoiatra, potrebbe essere indicato, nei casi più complessi e nei ritrattamenti, eseguire esami radiografici tridimensionali, tipo Cone Beam TC, onde individuare al meglio l’entità della patologia, la morfologia canalare e i rapporti che l’elemento dentale contrae con le strutture di supporto e limitrofe (nervo alveolare inferiore, seno mascellare).</w:t>
      </w:r>
    </w:p>
    <w:p w:rsidR="00FA43A1" w:rsidRDefault="00FA43A1" w:rsidP="00FA43A1">
      <w:pPr>
        <w:rPr>
          <w:b/>
          <w:bCs/>
        </w:rPr>
      </w:pPr>
      <w:r>
        <w:t>(</w:t>
      </w:r>
      <w:proofErr w:type="gramStart"/>
      <w:r>
        <w:t>da</w:t>
      </w:r>
      <w:proofErr w:type="gramEnd"/>
      <w:r>
        <w:t xml:space="preserve">, modificato : </w:t>
      </w:r>
      <w:r w:rsidRPr="00FA43A1">
        <w:rPr>
          <w:b/>
          <w:bCs/>
        </w:rPr>
        <w:t xml:space="preserve">MINISTERO DELLA SALUTE  -  Settembre 2017 </w:t>
      </w:r>
      <w:r>
        <w:rPr>
          <w:b/>
          <w:bCs/>
        </w:rPr>
        <w:t>)</w:t>
      </w:r>
    </w:p>
    <w:p w:rsidR="00FA43A1" w:rsidRPr="00FA43A1" w:rsidRDefault="00FA43A1" w:rsidP="00FA43A1">
      <w:pPr>
        <w:rPr>
          <w:b/>
          <w:bCs/>
        </w:rPr>
      </w:pPr>
      <w:r w:rsidRPr="00FA43A1">
        <w:rPr>
          <w:b/>
          <w:bCs/>
          <w:noProof/>
          <w:lang w:eastAsia="it-IT"/>
        </w:rPr>
        <w:drawing>
          <wp:inline distT="0" distB="0" distL="0" distR="0" wp14:anchorId="745C27C0" wp14:editId="29A21F52">
            <wp:extent cx="6096851" cy="342947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96851" cy="3429479"/>
                    </a:xfrm>
                    <a:prstGeom prst="rect">
                      <a:avLst/>
                    </a:prstGeom>
                  </pic:spPr>
                </pic:pic>
              </a:graphicData>
            </a:graphic>
          </wp:inline>
        </w:drawing>
      </w:r>
    </w:p>
    <w:p w:rsidR="00FA43A1" w:rsidRPr="00FA43A1" w:rsidRDefault="00FA43A1" w:rsidP="00FA43A1">
      <w:r w:rsidRPr="00FA43A1">
        <w:rPr>
          <w:b/>
          <w:bCs/>
        </w:rPr>
        <w:t>CONTROINDICAZIONI AL TRATTAMENTO ENDODONTICO</w:t>
      </w:r>
    </w:p>
    <w:p w:rsidR="00FA43A1" w:rsidRPr="00FA43A1" w:rsidRDefault="00FA43A1" w:rsidP="00FA43A1">
      <w:r w:rsidRPr="00FA43A1">
        <w:t>1. denti permanenti che non possono essere utilizzati funzionalmente né restaurati, salvo per uso momentaneo;</w:t>
      </w:r>
    </w:p>
    <w:p w:rsidR="00FA43A1" w:rsidRPr="00FA43A1" w:rsidRDefault="00FA43A1" w:rsidP="00FA43A1">
      <w:r w:rsidRPr="00FA43A1">
        <w:t>2. denti permanenti con insufficiente sostegno parodontale, salvo per uso momentaneo;</w:t>
      </w:r>
    </w:p>
    <w:p w:rsidR="00FA43A1" w:rsidRPr="00FA43A1" w:rsidRDefault="00FA43A1" w:rsidP="00FA43A1">
      <w:r w:rsidRPr="00FA43A1">
        <w:t xml:space="preserve">3. denti con fratture verticali della radice e/o della corona. </w:t>
      </w:r>
    </w:p>
    <w:p w:rsidR="00FA43A1" w:rsidRPr="00FA43A1" w:rsidRDefault="00FA43A1" w:rsidP="00FA43A1">
      <w:r w:rsidRPr="00FA43A1">
        <w:rPr>
          <w:noProof/>
          <w:lang w:eastAsia="it-IT"/>
        </w:rPr>
        <w:drawing>
          <wp:inline distT="0" distB="0" distL="0" distR="0" wp14:anchorId="1562B924" wp14:editId="55E400AB">
            <wp:extent cx="6096851" cy="3429479"/>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96851" cy="3429479"/>
                    </a:xfrm>
                    <a:prstGeom prst="rect">
                      <a:avLst/>
                    </a:prstGeom>
                  </pic:spPr>
                </pic:pic>
              </a:graphicData>
            </a:graphic>
          </wp:inline>
        </w:drawing>
      </w:r>
    </w:p>
    <w:p w:rsidR="00EF7F3F" w:rsidRDefault="00EF7F3F"/>
    <w:p w:rsidR="00FA43A1" w:rsidRDefault="002C410F">
      <w:r>
        <w:lastRenderedPageBreak/>
        <w:t>TARTTAMENTO ANESTESIOLOGICO</w:t>
      </w:r>
    </w:p>
    <w:p w:rsidR="002C410F" w:rsidRPr="002C410F" w:rsidRDefault="002C410F" w:rsidP="002C410F">
      <w:r w:rsidRPr="002C410F">
        <w:t>In generale l’</w:t>
      </w:r>
      <w:r w:rsidRPr="002C410F">
        <w:rPr>
          <w:b/>
          <w:bCs/>
        </w:rPr>
        <w:t>anestetico</w:t>
      </w:r>
      <w:r w:rsidRPr="002C410F">
        <w:t xml:space="preserve"> è un farmaco, in grado di bloccare la conduzione nervosa quando somministrato localmente in concentrazioni adeguate, che deve rispondere a determinati requisiti:</w:t>
      </w:r>
    </w:p>
    <w:p w:rsidR="00000000" w:rsidRPr="002C410F" w:rsidRDefault="006A2F57" w:rsidP="002C410F">
      <w:pPr>
        <w:numPr>
          <w:ilvl w:val="0"/>
          <w:numId w:val="3"/>
        </w:numPr>
      </w:pPr>
      <w:r w:rsidRPr="002C410F">
        <w:t>Non deve essere irritante per i tessuti</w:t>
      </w:r>
    </w:p>
    <w:p w:rsidR="00000000" w:rsidRPr="002C410F" w:rsidRDefault="006A2F57" w:rsidP="002C410F">
      <w:pPr>
        <w:numPr>
          <w:ilvl w:val="0"/>
          <w:numId w:val="3"/>
        </w:numPr>
      </w:pPr>
      <w:r w:rsidRPr="002C410F">
        <w:t>Non deve produrre lesioni permane</w:t>
      </w:r>
      <w:r w:rsidRPr="002C410F">
        <w:t>nti delle strutture nervose</w:t>
      </w:r>
    </w:p>
    <w:p w:rsidR="00000000" w:rsidRPr="002C410F" w:rsidRDefault="006A2F57" w:rsidP="002C410F">
      <w:pPr>
        <w:numPr>
          <w:ilvl w:val="0"/>
          <w:numId w:val="3"/>
        </w:numPr>
      </w:pPr>
      <w:r w:rsidRPr="002C410F">
        <w:t>Deve dare una bassissima tossicità sistemica</w:t>
      </w:r>
    </w:p>
    <w:p w:rsidR="00000000" w:rsidRPr="002C410F" w:rsidRDefault="006A2F57" w:rsidP="002C410F">
      <w:pPr>
        <w:numPr>
          <w:ilvl w:val="0"/>
          <w:numId w:val="3"/>
        </w:numPr>
      </w:pPr>
      <w:r w:rsidRPr="002C410F">
        <w:t>Deve essere efficace per iniezione e per applicazio</w:t>
      </w:r>
      <w:r w:rsidRPr="002C410F">
        <w:t>ne topica</w:t>
      </w:r>
    </w:p>
    <w:p w:rsidR="00000000" w:rsidRPr="002C410F" w:rsidRDefault="006A2F57" w:rsidP="002C410F">
      <w:pPr>
        <w:numPr>
          <w:ilvl w:val="0"/>
          <w:numId w:val="3"/>
        </w:numPr>
      </w:pPr>
      <w:r w:rsidRPr="002C410F">
        <w:t xml:space="preserve">Deve agire nel più breve tempo possibile </w:t>
      </w:r>
    </w:p>
    <w:p w:rsidR="002C410F" w:rsidRPr="002C410F" w:rsidRDefault="002C410F" w:rsidP="002C410F">
      <w:r w:rsidRPr="002C410F">
        <w:t xml:space="preserve">   </w:t>
      </w:r>
      <w:proofErr w:type="gramStart"/>
      <w:r w:rsidRPr="002C410F">
        <w:t>( basso</w:t>
      </w:r>
      <w:proofErr w:type="gramEnd"/>
      <w:r w:rsidRPr="002C410F">
        <w:t xml:space="preserve"> tempo di latenza)</w:t>
      </w:r>
    </w:p>
    <w:p w:rsidR="00000000" w:rsidRPr="002C410F" w:rsidRDefault="006A2F57" w:rsidP="002C410F">
      <w:pPr>
        <w:numPr>
          <w:ilvl w:val="0"/>
          <w:numId w:val="4"/>
        </w:numPr>
      </w:pPr>
      <w:r w:rsidRPr="002C410F">
        <w:t>Deve durare per il tempo necessario ad effettuare un intervento</w:t>
      </w:r>
    </w:p>
    <w:p w:rsidR="00000000" w:rsidRPr="002C410F" w:rsidRDefault="006A2F57" w:rsidP="002C410F">
      <w:pPr>
        <w:numPr>
          <w:ilvl w:val="0"/>
          <w:numId w:val="4"/>
        </w:numPr>
      </w:pPr>
      <w:r w:rsidRPr="002C410F">
        <w:t>Deve essere eliminato in tempi rapidi.</w:t>
      </w:r>
    </w:p>
    <w:p w:rsidR="002C410F" w:rsidRPr="002C410F" w:rsidRDefault="002C410F" w:rsidP="002C410F">
      <w:r w:rsidRPr="002C410F">
        <w:rPr>
          <w:b/>
          <w:bCs/>
        </w:rPr>
        <w:t>Per gli effetti collaterali ed eventuali complicanze si rimanda al corso sulle emergenze.</w:t>
      </w:r>
    </w:p>
    <w:p w:rsidR="002C410F" w:rsidRDefault="002C410F"/>
    <w:p w:rsidR="002C410F" w:rsidRDefault="002C410F">
      <w:r>
        <w:t>RESTAURO PREENDODONTICO</w:t>
      </w:r>
    </w:p>
    <w:p w:rsidR="002C410F" w:rsidRPr="002C410F" w:rsidRDefault="002C410F" w:rsidP="002C410F">
      <w:r w:rsidRPr="002C410F">
        <w:t xml:space="preserve">Prima di procedere alla terapia endodontica le lesioni cariose ed i restauri infiltrati presenti devono essere rimossi              e dovrà, eventualmente, essere eseguito un restauro pre-endodontico che possa assicurare sia l’isolamento dell’endodonto dall’ambiente orale sia la resistenza strutturale temporanea ai carichi masticatori; </w:t>
      </w:r>
    </w:p>
    <w:p w:rsidR="002C410F" w:rsidRPr="002C410F" w:rsidRDefault="002C410F" w:rsidP="002C410F">
      <w:proofErr w:type="gramStart"/>
      <w:r w:rsidRPr="002C410F">
        <w:t>il</w:t>
      </w:r>
      <w:proofErr w:type="gramEnd"/>
      <w:r w:rsidRPr="002C410F">
        <w:t xml:space="preserve"> rischio di frattura e l’eventuale sintomatologia post operatoria possono essere limitati da un controllo dei carichi occlusali ed effettuando il restauro definitivo quanto prima possibile.</w:t>
      </w:r>
    </w:p>
    <w:p w:rsidR="002C410F" w:rsidRDefault="002C410F"/>
    <w:p w:rsidR="002C410F" w:rsidRDefault="002C410F">
      <w:r w:rsidRPr="002C410F">
        <w:drawing>
          <wp:inline distT="0" distB="0" distL="0" distR="0" wp14:anchorId="1D25F97A" wp14:editId="463C3B44">
            <wp:extent cx="6096851" cy="342947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96851" cy="3429479"/>
                    </a:xfrm>
                    <a:prstGeom prst="rect">
                      <a:avLst/>
                    </a:prstGeom>
                  </pic:spPr>
                </pic:pic>
              </a:graphicData>
            </a:graphic>
          </wp:inline>
        </w:drawing>
      </w:r>
    </w:p>
    <w:p w:rsidR="002C410F" w:rsidRDefault="002C410F">
      <w:r>
        <w:rPr>
          <w:noProof/>
          <w:lang w:eastAsia="it-IT"/>
        </w:rPr>
        <w:drawing>
          <wp:inline distT="0" distB="0" distL="0" distR="0" wp14:anchorId="48F5BA00">
            <wp:extent cx="5540136" cy="3116580"/>
            <wp:effectExtent l="0" t="0" r="381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5023" cy="3136206"/>
                    </a:xfrm>
                    <a:prstGeom prst="rect">
                      <a:avLst/>
                    </a:prstGeom>
                    <a:noFill/>
                  </pic:spPr>
                </pic:pic>
              </a:graphicData>
            </a:graphic>
          </wp:inline>
        </w:drawing>
      </w:r>
    </w:p>
    <w:p w:rsidR="002C410F" w:rsidRDefault="002C410F">
      <w:r>
        <w:rPr>
          <w:noProof/>
          <w:lang w:eastAsia="it-IT"/>
        </w:rPr>
        <w:drawing>
          <wp:inline distT="0" distB="0" distL="0" distR="0" wp14:anchorId="5F63B119">
            <wp:extent cx="5570601" cy="3133717"/>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5623" cy="3147793"/>
                    </a:xfrm>
                    <a:prstGeom prst="rect">
                      <a:avLst/>
                    </a:prstGeom>
                    <a:noFill/>
                  </pic:spPr>
                </pic:pic>
              </a:graphicData>
            </a:graphic>
          </wp:inline>
        </w:drawing>
      </w:r>
    </w:p>
    <w:p w:rsidR="002C410F" w:rsidRDefault="002C410F">
      <w:r>
        <w:rPr>
          <w:noProof/>
          <w:lang w:eastAsia="it-IT"/>
        </w:rPr>
        <w:drawing>
          <wp:inline distT="0" distB="0" distL="0" distR="0" wp14:anchorId="3B40AD1A">
            <wp:extent cx="5570600" cy="3133717"/>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5840" cy="3153541"/>
                    </a:xfrm>
                    <a:prstGeom prst="rect">
                      <a:avLst/>
                    </a:prstGeom>
                    <a:noFill/>
                  </pic:spPr>
                </pic:pic>
              </a:graphicData>
            </a:graphic>
          </wp:inline>
        </w:drawing>
      </w:r>
    </w:p>
    <w:p w:rsidR="002C410F" w:rsidRPr="002C410F" w:rsidRDefault="002C410F" w:rsidP="002C410F">
      <w:r w:rsidRPr="002C410F">
        <w:rPr>
          <w:b/>
          <w:bCs/>
        </w:rPr>
        <w:t xml:space="preserve">Le terapie endodontiche devono essere eseguite con strumenti endodontici sterili, tecniche asettiche e con adeguato isolamento del campo operatorio. </w:t>
      </w:r>
    </w:p>
    <w:p w:rsidR="002C410F" w:rsidRPr="002C410F" w:rsidRDefault="002C410F" w:rsidP="002C410F">
      <w:r w:rsidRPr="002C410F">
        <w:rPr>
          <w:b/>
          <w:bCs/>
        </w:rPr>
        <w:t>Per ottenere un adeguato isolamento del campo è consigliato l’uso della diga di gomma o di altro dispositivo che consenta di ottenere un idoneo isolamento del campo operatorio dai fluidi orali e di prevenire la deglutizione o la aspirazione di strumenti, materiali o irriganti.</w:t>
      </w:r>
    </w:p>
    <w:p w:rsidR="002C410F" w:rsidRDefault="002C410F">
      <w:r w:rsidRPr="002C410F">
        <w:drawing>
          <wp:inline distT="0" distB="0" distL="0" distR="0" wp14:anchorId="2E76E898" wp14:editId="1A013EDD">
            <wp:extent cx="6096851" cy="3429479"/>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851" cy="3429479"/>
                    </a:xfrm>
                    <a:prstGeom prst="rect">
                      <a:avLst/>
                    </a:prstGeom>
                  </pic:spPr>
                </pic:pic>
              </a:graphicData>
            </a:graphic>
          </wp:inline>
        </w:drawing>
      </w:r>
    </w:p>
    <w:p w:rsidR="002C410F" w:rsidRDefault="002C410F">
      <w:r>
        <w:rPr>
          <w:noProof/>
          <w:lang w:eastAsia="it-IT"/>
        </w:rPr>
        <w:drawing>
          <wp:inline distT="0" distB="0" distL="0" distR="0" wp14:anchorId="65758AD0">
            <wp:extent cx="6096635" cy="342963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2C410F" w:rsidRDefault="002C410F">
      <w:r>
        <w:rPr>
          <w:noProof/>
          <w:lang w:eastAsia="it-IT"/>
        </w:rPr>
        <w:drawing>
          <wp:inline distT="0" distB="0" distL="0" distR="0" wp14:anchorId="4301B92E">
            <wp:extent cx="5770413" cy="3246120"/>
            <wp:effectExtent l="0" t="0" r="190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0687" cy="3251900"/>
                    </a:xfrm>
                    <a:prstGeom prst="rect">
                      <a:avLst/>
                    </a:prstGeom>
                    <a:noFill/>
                  </pic:spPr>
                </pic:pic>
              </a:graphicData>
            </a:graphic>
          </wp:inline>
        </w:drawing>
      </w:r>
    </w:p>
    <w:p w:rsidR="002C410F" w:rsidRDefault="002C410F">
      <w:r>
        <w:rPr>
          <w:noProof/>
          <w:lang w:eastAsia="it-IT"/>
        </w:rPr>
        <w:drawing>
          <wp:inline distT="0" distB="0" distL="0" distR="0" wp14:anchorId="6E50C1D6">
            <wp:extent cx="5607866" cy="3154680"/>
            <wp:effectExtent l="0" t="0" r="0" b="762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9526" cy="3166865"/>
                    </a:xfrm>
                    <a:prstGeom prst="rect">
                      <a:avLst/>
                    </a:prstGeom>
                    <a:noFill/>
                  </pic:spPr>
                </pic:pic>
              </a:graphicData>
            </a:graphic>
          </wp:inline>
        </w:drawing>
      </w:r>
    </w:p>
    <w:p w:rsidR="002C410F" w:rsidRDefault="002C410F">
      <w:r>
        <w:rPr>
          <w:noProof/>
          <w:lang w:eastAsia="it-IT"/>
        </w:rPr>
        <w:drawing>
          <wp:inline distT="0" distB="0" distL="0" distR="0" wp14:anchorId="68F093F2">
            <wp:extent cx="5586095" cy="3142433"/>
            <wp:effectExtent l="0" t="0" r="0" b="127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5863" cy="3153554"/>
                    </a:xfrm>
                    <a:prstGeom prst="rect">
                      <a:avLst/>
                    </a:prstGeom>
                    <a:noFill/>
                  </pic:spPr>
                </pic:pic>
              </a:graphicData>
            </a:graphic>
          </wp:inline>
        </w:drawing>
      </w:r>
    </w:p>
    <w:p w:rsidR="002C410F" w:rsidRPr="002C410F" w:rsidRDefault="002C410F" w:rsidP="002C410F">
      <w:r w:rsidRPr="002C410F">
        <w:rPr>
          <w:b/>
          <w:bCs/>
        </w:rPr>
        <w:t>Metodologie utilizzabili per la determinazione della lunghezza di lavoro</w:t>
      </w:r>
    </w:p>
    <w:p w:rsidR="002C410F" w:rsidRPr="002C410F" w:rsidRDefault="002C410F" w:rsidP="002C410F">
      <w:proofErr w:type="gramStart"/>
      <w:r w:rsidRPr="002C410F">
        <w:rPr>
          <w:b/>
          <w:bCs/>
        </w:rPr>
        <w:t>sono</w:t>
      </w:r>
      <w:proofErr w:type="gramEnd"/>
      <w:r w:rsidRPr="002C410F">
        <w:rPr>
          <w:b/>
          <w:bCs/>
        </w:rPr>
        <w:t xml:space="preserve"> quelle che prevedono l’uso di rilevatori elettronici dell’apice e/o, di esami radiografici intraoperatori eventualmente eseguiti con l’uso di centratori.</w:t>
      </w:r>
    </w:p>
    <w:p w:rsidR="002C410F" w:rsidRPr="002C410F" w:rsidRDefault="002C410F" w:rsidP="002C410F">
      <w:r w:rsidRPr="002C410F">
        <w:t>I rilevatori apicali sono strumenti elettronici utilizzati in endodonzia per misurare l'</w:t>
      </w:r>
      <w:r w:rsidRPr="002C410F">
        <w:rPr>
          <w:b/>
          <w:bCs/>
        </w:rPr>
        <w:t>impedenza, la frequenza e la resistenza</w:t>
      </w:r>
      <w:r w:rsidRPr="002C410F">
        <w:t> </w:t>
      </w:r>
      <w:proofErr w:type="gramStart"/>
      <w:r w:rsidRPr="002C410F">
        <w:t>dell’ oltre</w:t>
      </w:r>
      <w:proofErr w:type="gramEnd"/>
      <w:r w:rsidRPr="002C410F">
        <w:t xml:space="preserve"> apice, ovvero dei tessuti che circondano l’apice radicolare, al fine di  localizzare la lunghezza di lavoro del canale radicolare da devitalizzare. In pratica: </w:t>
      </w:r>
      <w:proofErr w:type="gramStart"/>
      <w:r w:rsidRPr="002C410F">
        <w:t>quando  la</w:t>
      </w:r>
      <w:proofErr w:type="gramEnd"/>
      <w:r w:rsidRPr="002C410F">
        <w:t xml:space="preserve"> punta della lima viene a contatto con  il tessuto, la resistenza diminuisce notevolmente e la corrente inizia  a passare.</w:t>
      </w:r>
    </w:p>
    <w:p w:rsidR="002C410F" w:rsidRPr="002C410F" w:rsidRDefault="002C410F" w:rsidP="002C410F">
      <w:r w:rsidRPr="002C410F">
        <w:t xml:space="preserve">I primi localizzatori d'apice funzionavano secondo il principio della corrente continua. Un problema con questi dispositivi era che i fluidi conduttivi come emorragie, essudato o irriganti nel canale consentivano il flusso di corrente e quindi una lettura errata. I dispositivi più recenti sono basati sull'impedenza, utilizzando la corrente alternata di due frequenze; ​​questi misurano e confrontano due impedenze elettriche che cambiano mentre il file si sposta verso l’apice. </w:t>
      </w:r>
    </w:p>
    <w:p w:rsidR="002C410F" w:rsidRDefault="002C410F">
      <w:r>
        <w:rPr>
          <w:noProof/>
          <w:lang w:eastAsia="it-IT"/>
        </w:rPr>
        <w:drawing>
          <wp:inline distT="0" distB="0" distL="0" distR="0" wp14:anchorId="3A057F3C" wp14:editId="7FEEFFF4">
            <wp:extent cx="4572000" cy="3429001"/>
            <wp:effectExtent l="0" t="0" r="0" b="0"/>
            <wp:docPr id="22532" name="Picture 4" descr="i-Root Apex Locato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i-Root Apex Locator - YouTu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4290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277FDF" w:rsidRDefault="00277FDF">
      <w:r w:rsidRPr="00277FDF">
        <w:drawing>
          <wp:inline distT="0" distB="0" distL="0" distR="0" wp14:anchorId="358ABD7D" wp14:editId="1E47C464">
            <wp:extent cx="6096851" cy="3429479"/>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851" cy="3429479"/>
                    </a:xfrm>
                    <a:prstGeom prst="rect">
                      <a:avLst/>
                    </a:prstGeom>
                  </pic:spPr>
                </pic:pic>
              </a:graphicData>
            </a:graphic>
          </wp:inline>
        </w:drawing>
      </w:r>
    </w:p>
    <w:p w:rsidR="00277FDF" w:rsidRPr="00277FDF" w:rsidRDefault="00277FDF" w:rsidP="00277FDF">
      <w:r w:rsidRPr="00277FDF">
        <w:t xml:space="preserve">Le straordinarie caratteristiche di superelasticità e resistenza della lega </w:t>
      </w:r>
      <w:proofErr w:type="spellStart"/>
      <w:r w:rsidRPr="00277FDF">
        <w:t>NiTi</w:t>
      </w:r>
      <w:proofErr w:type="spellEnd"/>
      <w:r w:rsidRPr="00277FDF">
        <w:t xml:space="preserve"> hanno permesso di realizzare strumenti rotanti con conicità aumentata, riducendo i tempi operativi e incrementando le potenzialità della strumentazione. </w:t>
      </w:r>
    </w:p>
    <w:p w:rsidR="00277FDF" w:rsidRPr="00277FDF" w:rsidRDefault="00277FDF" w:rsidP="00277FDF">
      <w:r w:rsidRPr="00277FDF">
        <w:t>Vengono prodotti in lunghezze diverse: 21 mm, 25 mm. 31 mm</w:t>
      </w:r>
    </w:p>
    <w:p w:rsidR="00277FDF" w:rsidRPr="00277FDF" w:rsidRDefault="00277FDF" w:rsidP="00277FDF">
      <w:r w:rsidRPr="00277FDF">
        <w:rPr>
          <w:b/>
          <w:bCs/>
        </w:rPr>
        <w:t>La devitalizzazione o eliminazione della polpa canalare non deve essere perseguita chimicamente con materiali che contengano componenti tossici, ma attraverso una tecnica di strumentazione manuale o meccanica che permetta di alesare il canale fino ad ottenere una sagomatura adeguata, mantenendo per quanto possibile il disegno anatomico originario del canale in particolare della sua area apicale, rimuovendo contemporaneamente i tessuti pulpari</w:t>
      </w:r>
    </w:p>
    <w:p w:rsidR="00277FDF" w:rsidRPr="00277FDF" w:rsidRDefault="00277FDF" w:rsidP="00277FDF">
      <w:proofErr w:type="gramStart"/>
      <w:r w:rsidRPr="00277FDF">
        <w:rPr>
          <w:b/>
          <w:bCs/>
        </w:rPr>
        <w:t>e</w:t>
      </w:r>
      <w:proofErr w:type="gramEnd"/>
      <w:r w:rsidRPr="00277FDF">
        <w:rPr>
          <w:b/>
          <w:bCs/>
        </w:rPr>
        <w:t xml:space="preserve"> i detriti organici e inorganici e riducendo la carica batterica</w:t>
      </w:r>
    </w:p>
    <w:p w:rsidR="00277FDF" w:rsidRDefault="00277FDF">
      <w:r w:rsidRPr="00277FDF">
        <w:drawing>
          <wp:inline distT="0" distB="0" distL="0" distR="0" wp14:anchorId="07995B10" wp14:editId="40B0BE43">
            <wp:extent cx="6096851" cy="3429479"/>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851" cy="3429479"/>
                    </a:xfrm>
                    <a:prstGeom prst="rect">
                      <a:avLst/>
                    </a:prstGeom>
                  </pic:spPr>
                </pic:pic>
              </a:graphicData>
            </a:graphic>
          </wp:inline>
        </w:drawing>
      </w:r>
    </w:p>
    <w:p w:rsidR="00277FDF" w:rsidRPr="00277FDF" w:rsidRDefault="00277FDF" w:rsidP="00277FDF">
      <w:r w:rsidRPr="00277FDF">
        <w:t>Sistemi di implementazione dell’azione degli irriganti come ultrasuoni o laser possono essere considerati complementari e non alternativi alle classiche tecniche di irrigazione.</w:t>
      </w:r>
    </w:p>
    <w:p w:rsidR="00277FDF" w:rsidRDefault="00277FDF">
      <w:r w:rsidRPr="00277FDF">
        <w:drawing>
          <wp:inline distT="0" distB="0" distL="0" distR="0" wp14:anchorId="1E38C24F" wp14:editId="79800A48">
            <wp:extent cx="6096851" cy="3429479"/>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851" cy="3429479"/>
                    </a:xfrm>
                    <a:prstGeom prst="rect">
                      <a:avLst/>
                    </a:prstGeom>
                  </pic:spPr>
                </pic:pic>
              </a:graphicData>
            </a:graphic>
          </wp:inline>
        </w:drawing>
      </w:r>
    </w:p>
    <w:p w:rsidR="00277FDF" w:rsidRPr="00277FDF" w:rsidRDefault="00277FDF" w:rsidP="00277FDF">
      <w:r w:rsidRPr="00277FDF">
        <w:rPr>
          <w:b/>
          <w:bCs/>
        </w:rPr>
        <w:t>CHIUSURA TRIDIMENSIONALE DEI CANALI CEMENTI E GUTTAPERCA</w:t>
      </w:r>
    </w:p>
    <w:p w:rsidR="00277FDF" w:rsidRPr="00277FDF" w:rsidRDefault="00277FDF" w:rsidP="00277FDF">
      <w:r w:rsidRPr="00277FDF">
        <w:t>Le caratteristiche di un cemento canalare sono: </w:t>
      </w:r>
    </w:p>
    <w:p w:rsidR="00000000" w:rsidRPr="00277FDF" w:rsidRDefault="006A2F57" w:rsidP="00277FDF">
      <w:pPr>
        <w:numPr>
          <w:ilvl w:val="0"/>
          <w:numId w:val="5"/>
        </w:numPr>
      </w:pPr>
      <w:proofErr w:type="gramStart"/>
      <w:r w:rsidRPr="00277FDF">
        <w:t>essere</w:t>
      </w:r>
      <w:proofErr w:type="gramEnd"/>
      <w:r w:rsidRPr="00277FDF">
        <w:t xml:space="preserve"> biocompatibile, </w:t>
      </w:r>
    </w:p>
    <w:p w:rsidR="00000000" w:rsidRPr="00277FDF" w:rsidRDefault="006A2F57" w:rsidP="00277FDF">
      <w:pPr>
        <w:numPr>
          <w:ilvl w:val="0"/>
          <w:numId w:val="5"/>
        </w:numPr>
      </w:pPr>
      <w:proofErr w:type="gramStart"/>
      <w:r w:rsidRPr="00277FDF">
        <w:t>possedere</w:t>
      </w:r>
      <w:proofErr w:type="gramEnd"/>
      <w:r w:rsidRPr="00277FDF">
        <w:t xml:space="preserve"> un’ attività antimicrobica, </w:t>
      </w:r>
    </w:p>
    <w:p w:rsidR="00000000" w:rsidRPr="00277FDF" w:rsidRDefault="006A2F57" w:rsidP="00277FDF">
      <w:pPr>
        <w:numPr>
          <w:ilvl w:val="0"/>
          <w:numId w:val="5"/>
        </w:numPr>
      </w:pPr>
      <w:proofErr w:type="gramStart"/>
      <w:r w:rsidRPr="00277FDF">
        <w:t>essere</w:t>
      </w:r>
      <w:proofErr w:type="gramEnd"/>
      <w:r w:rsidRPr="00277FDF">
        <w:t xml:space="preserve"> radiopaco, </w:t>
      </w:r>
    </w:p>
    <w:p w:rsidR="00000000" w:rsidRPr="00277FDF" w:rsidRDefault="006A2F57" w:rsidP="00277FDF">
      <w:pPr>
        <w:numPr>
          <w:ilvl w:val="0"/>
          <w:numId w:val="5"/>
        </w:numPr>
      </w:pPr>
      <w:proofErr w:type="gramStart"/>
      <w:r w:rsidRPr="00277FDF">
        <w:t>avere</w:t>
      </w:r>
      <w:proofErr w:type="gramEnd"/>
      <w:r w:rsidRPr="00277FDF">
        <w:t xml:space="preserve"> una buona adesione alla dentina, </w:t>
      </w:r>
    </w:p>
    <w:p w:rsidR="00000000" w:rsidRPr="00277FDF" w:rsidRDefault="006A2F57" w:rsidP="00277FDF">
      <w:pPr>
        <w:numPr>
          <w:ilvl w:val="0"/>
          <w:numId w:val="5"/>
        </w:numPr>
      </w:pPr>
      <w:proofErr w:type="gramStart"/>
      <w:r w:rsidRPr="00277FDF">
        <w:t>essere</w:t>
      </w:r>
      <w:proofErr w:type="gramEnd"/>
      <w:r w:rsidRPr="00277FDF">
        <w:t xml:space="preserve"> fluido abbastanza da poter penetrare nei condotti accessori, </w:t>
      </w:r>
    </w:p>
    <w:p w:rsidR="00000000" w:rsidRPr="00277FDF" w:rsidRDefault="006A2F57" w:rsidP="00277FDF">
      <w:pPr>
        <w:numPr>
          <w:ilvl w:val="0"/>
          <w:numId w:val="5"/>
        </w:numPr>
      </w:pPr>
      <w:proofErr w:type="gramStart"/>
      <w:r w:rsidRPr="00277FDF">
        <w:t>impedire</w:t>
      </w:r>
      <w:proofErr w:type="gramEnd"/>
      <w:r w:rsidRPr="00277FDF">
        <w:t xml:space="preserve"> la microfiltrazione secondaria garantendo una buona otturazione tridimensionale, </w:t>
      </w:r>
    </w:p>
    <w:p w:rsidR="00000000" w:rsidRPr="00277FDF" w:rsidRDefault="006A2F57" w:rsidP="00277FDF">
      <w:pPr>
        <w:numPr>
          <w:ilvl w:val="0"/>
          <w:numId w:val="5"/>
        </w:numPr>
      </w:pPr>
      <w:proofErr w:type="gramStart"/>
      <w:r w:rsidRPr="00277FDF">
        <w:t>non</w:t>
      </w:r>
      <w:proofErr w:type="gramEnd"/>
      <w:r w:rsidRPr="00277FDF">
        <w:t xml:space="preserve"> produrre o quantomeno non favorire la variazione cromatica del dente </w:t>
      </w:r>
    </w:p>
    <w:p w:rsidR="00277FDF" w:rsidRDefault="00277FDF"/>
    <w:p w:rsidR="00277FDF" w:rsidRDefault="00277FDF"/>
    <w:p w:rsidR="00277FDF" w:rsidRPr="00277FDF" w:rsidRDefault="00277FDF" w:rsidP="00277FDF">
      <w:r w:rsidRPr="00277FDF">
        <w:t xml:space="preserve">La guttaperca è un </w:t>
      </w:r>
      <w:proofErr w:type="gramStart"/>
      <w:r w:rsidRPr="00277FDF">
        <w:t>polimero  con</w:t>
      </w:r>
      <w:proofErr w:type="gramEnd"/>
      <w:r w:rsidRPr="00277FDF">
        <w:t xml:space="preserve"> proprietà termoplastiche,</w:t>
      </w:r>
      <w:r>
        <w:t xml:space="preserve"> </w:t>
      </w:r>
      <w:r w:rsidRPr="00277FDF">
        <w:t>prodotto dalle foglie di un albero originario dell’Arcipelago malese: Indonesia, Malesia e Filippine.</w:t>
      </w:r>
    </w:p>
    <w:p w:rsidR="00277FDF" w:rsidRPr="00277FDF" w:rsidRDefault="00277FDF" w:rsidP="00277FDF">
      <w:r w:rsidRPr="00277FDF">
        <w:t>Introdotta in odontoiatria da Hill nel 1848.</w:t>
      </w:r>
    </w:p>
    <w:p w:rsidR="00277FDF" w:rsidRDefault="00277FDF">
      <w:r w:rsidRPr="00277FDF">
        <w:t>Viene sfruttata la sua caratteristica di poter essere plasmata all’interno del sistema radicolare grazie al calore e alla pressione che viene esercitata durante l’inserimento nei canali.</w:t>
      </w:r>
    </w:p>
    <w:p w:rsidR="00277FDF" w:rsidRDefault="00277FDF"/>
    <w:p w:rsidR="00277FDF" w:rsidRPr="00277FDF" w:rsidRDefault="00277FDF" w:rsidP="00277FDF">
      <w:r w:rsidRPr="00277FDF">
        <w:t>I canali riempiti con guttaperca riscaldata, che viene poi compattata e compressa, avranno un sigillo più accurato e preciso, meno facilmente soggetto ad infiltrazione rispetto ad uno creato con un cono master posizionato senza essere riscaldato, compattato e condensato.</w:t>
      </w:r>
    </w:p>
    <w:p w:rsidR="00277FDF" w:rsidRDefault="00277FDF">
      <w:r w:rsidRPr="00277FDF">
        <w:drawing>
          <wp:inline distT="0" distB="0" distL="0" distR="0" wp14:anchorId="64013A14" wp14:editId="7E94882C">
            <wp:extent cx="6096851" cy="3429479"/>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851" cy="3429479"/>
                    </a:xfrm>
                    <a:prstGeom prst="rect">
                      <a:avLst/>
                    </a:prstGeom>
                  </pic:spPr>
                </pic:pic>
              </a:graphicData>
            </a:graphic>
          </wp:inline>
        </w:drawing>
      </w:r>
    </w:p>
    <w:p w:rsidR="00277FDF" w:rsidRDefault="00277FDF">
      <w:bookmarkStart w:id="0" w:name="_GoBack"/>
      <w:bookmarkEnd w:id="0"/>
    </w:p>
    <w:sectPr w:rsidR="00277FDF" w:rsidSect="002C410F">
      <w:pgSz w:w="11906" w:h="16838"/>
      <w:pgMar w:top="709" w:right="566"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07F7A"/>
    <w:multiLevelType w:val="hybridMultilevel"/>
    <w:tmpl w:val="68E0F2FE"/>
    <w:lvl w:ilvl="0" w:tplc="83B6870A">
      <w:start w:val="1"/>
      <w:numFmt w:val="bullet"/>
      <w:lvlText w:val="•"/>
      <w:lvlJc w:val="left"/>
      <w:pPr>
        <w:tabs>
          <w:tab w:val="num" w:pos="720"/>
        </w:tabs>
        <w:ind w:left="720" w:hanging="360"/>
      </w:pPr>
      <w:rPr>
        <w:rFonts w:ascii="Arial" w:hAnsi="Arial" w:hint="default"/>
      </w:rPr>
    </w:lvl>
    <w:lvl w:ilvl="1" w:tplc="08EC8426" w:tentative="1">
      <w:start w:val="1"/>
      <w:numFmt w:val="bullet"/>
      <w:lvlText w:val="•"/>
      <w:lvlJc w:val="left"/>
      <w:pPr>
        <w:tabs>
          <w:tab w:val="num" w:pos="1440"/>
        </w:tabs>
        <w:ind w:left="1440" w:hanging="360"/>
      </w:pPr>
      <w:rPr>
        <w:rFonts w:ascii="Arial" w:hAnsi="Arial" w:hint="default"/>
      </w:rPr>
    </w:lvl>
    <w:lvl w:ilvl="2" w:tplc="1D6E5C08" w:tentative="1">
      <w:start w:val="1"/>
      <w:numFmt w:val="bullet"/>
      <w:lvlText w:val="•"/>
      <w:lvlJc w:val="left"/>
      <w:pPr>
        <w:tabs>
          <w:tab w:val="num" w:pos="2160"/>
        </w:tabs>
        <w:ind w:left="2160" w:hanging="360"/>
      </w:pPr>
      <w:rPr>
        <w:rFonts w:ascii="Arial" w:hAnsi="Arial" w:hint="default"/>
      </w:rPr>
    </w:lvl>
    <w:lvl w:ilvl="3" w:tplc="3A88001A" w:tentative="1">
      <w:start w:val="1"/>
      <w:numFmt w:val="bullet"/>
      <w:lvlText w:val="•"/>
      <w:lvlJc w:val="left"/>
      <w:pPr>
        <w:tabs>
          <w:tab w:val="num" w:pos="2880"/>
        </w:tabs>
        <w:ind w:left="2880" w:hanging="360"/>
      </w:pPr>
      <w:rPr>
        <w:rFonts w:ascii="Arial" w:hAnsi="Arial" w:hint="default"/>
      </w:rPr>
    </w:lvl>
    <w:lvl w:ilvl="4" w:tplc="406CF9CE" w:tentative="1">
      <w:start w:val="1"/>
      <w:numFmt w:val="bullet"/>
      <w:lvlText w:val="•"/>
      <w:lvlJc w:val="left"/>
      <w:pPr>
        <w:tabs>
          <w:tab w:val="num" w:pos="3600"/>
        </w:tabs>
        <w:ind w:left="3600" w:hanging="360"/>
      </w:pPr>
      <w:rPr>
        <w:rFonts w:ascii="Arial" w:hAnsi="Arial" w:hint="default"/>
      </w:rPr>
    </w:lvl>
    <w:lvl w:ilvl="5" w:tplc="1AE8B4C4" w:tentative="1">
      <w:start w:val="1"/>
      <w:numFmt w:val="bullet"/>
      <w:lvlText w:val="•"/>
      <w:lvlJc w:val="left"/>
      <w:pPr>
        <w:tabs>
          <w:tab w:val="num" w:pos="4320"/>
        </w:tabs>
        <w:ind w:left="4320" w:hanging="360"/>
      </w:pPr>
      <w:rPr>
        <w:rFonts w:ascii="Arial" w:hAnsi="Arial" w:hint="default"/>
      </w:rPr>
    </w:lvl>
    <w:lvl w:ilvl="6" w:tplc="5C4C5572" w:tentative="1">
      <w:start w:val="1"/>
      <w:numFmt w:val="bullet"/>
      <w:lvlText w:val="•"/>
      <w:lvlJc w:val="left"/>
      <w:pPr>
        <w:tabs>
          <w:tab w:val="num" w:pos="5040"/>
        </w:tabs>
        <w:ind w:left="5040" w:hanging="360"/>
      </w:pPr>
      <w:rPr>
        <w:rFonts w:ascii="Arial" w:hAnsi="Arial" w:hint="default"/>
      </w:rPr>
    </w:lvl>
    <w:lvl w:ilvl="7" w:tplc="47F0573E" w:tentative="1">
      <w:start w:val="1"/>
      <w:numFmt w:val="bullet"/>
      <w:lvlText w:val="•"/>
      <w:lvlJc w:val="left"/>
      <w:pPr>
        <w:tabs>
          <w:tab w:val="num" w:pos="5760"/>
        </w:tabs>
        <w:ind w:left="5760" w:hanging="360"/>
      </w:pPr>
      <w:rPr>
        <w:rFonts w:ascii="Arial" w:hAnsi="Arial" w:hint="default"/>
      </w:rPr>
    </w:lvl>
    <w:lvl w:ilvl="8" w:tplc="4A4A473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28E2769"/>
    <w:multiLevelType w:val="hybridMultilevel"/>
    <w:tmpl w:val="3BB279CC"/>
    <w:lvl w:ilvl="0" w:tplc="EE6AF88A">
      <w:start w:val="1"/>
      <w:numFmt w:val="bullet"/>
      <w:lvlText w:val="•"/>
      <w:lvlJc w:val="left"/>
      <w:pPr>
        <w:tabs>
          <w:tab w:val="num" w:pos="720"/>
        </w:tabs>
        <w:ind w:left="720" w:hanging="360"/>
      </w:pPr>
      <w:rPr>
        <w:rFonts w:ascii="Arial" w:hAnsi="Arial" w:hint="default"/>
      </w:rPr>
    </w:lvl>
    <w:lvl w:ilvl="1" w:tplc="8EDC1DBE" w:tentative="1">
      <w:start w:val="1"/>
      <w:numFmt w:val="bullet"/>
      <w:lvlText w:val="•"/>
      <w:lvlJc w:val="left"/>
      <w:pPr>
        <w:tabs>
          <w:tab w:val="num" w:pos="1440"/>
        </w:tabs>
        <w:ind w:left="1440" w:hanging="360"/>
      </w:pPr>
      <w:rPr>
        <w:rFonts w:ascii="Arial" w:hAnsi="Arial" w:hint="default"/>
      </w:rPr>
    </w:lvl>
    <w:lvl w:ilvl="2" w:tplc="6748C8FC" w:tentative="1">
      <w:start w:val="1"/>
      <w:numFmt w:val="bullet"/>
      <w:lvlText w:val="•"/>
      <w:lvlJc w:val="left"/>
      <w:pPr>
        <w:tabs>
          <w:tab w:val="num" w:pos="2160"/>
        </w:tabs>
        <w:ind w:left="2160" w:hanging="360"/>
      </w:pPr>
      <w:rPr>
        <w:rFonts w:ascii="Arial" w:hAnsi="Arial" w:hint="default"/>
      </w:rPr>
    </w:lvl>
    <w:lvl w:ilvl="3" w:tplc="F0048C40" w:tentative="1">
      <w:start w:val="1"/>
      <w:numFmt w:val="bullet"/>
      <w:lvlText w:val="•"/>
      <w:lvlJc w:val="left"/>
      <w:pPr>
        <w:tabs>
          <w:tab w:val="num" w:pos="2880"/>
        </w:tabs>
        <w:ind w:left="2880" w:hanging="360"/>
      </w:pPr>
      <w:rPr>
        <w:rFonts w:ascii="Arial" w:hAnsi="Arial" w:hint="default"/>
      </w:rPr>
    </w:lvl>
    <w:lvl w:ilvl="4" w:tplc="11FAF1B0" w:tentative="1">
      <w:start w:val="1"/>
      <w:numFmt w:val="bullet"/>
      <w:lvlText w:val="•"/>
      <w:lvlJc w:val="left"/>
      <w:pPr>
        <w:tabs>
          <w:tab w:val="num" w:pos="3600"/>
        </w:tabs>
        <w:ind w:left="3600" w:hanging="360"/>
      </w:pPr>
      <w:rPr>
        <w:rFonts w:ascii="Arial" w:hAnsi="Arial" w:hint="default"/>
      </w:rPr>
    </w:lvl>
    <w:lvl w:ilvl="5" w:tplc="99DC166C" w:tentative="1">
      <w:start w:val="1"/>
      <w:numFmt w:val="bullet"/>
      <w:lvlText w:val="•"/>
      <w:lvlJc w:val="left"/>
      <w:pPr>
        <w:tabs>
          <w:tab w:val="num" w:pos="4320"/>
        </w:tabs>
        <w:ind w:left="4320" w:hanging="360"/>
      </w:pPr>
      <w:rPr>
        <w:rFonts w:ascii="Arial" w:hAnsi="Arial" w:hint="default"/>
      </w:rPr>
    </w:lvl>
    <w:lvl w:ilvl="6" w:tplc="A29012EC" w:tentative="1">
      <w:start w:val="1"/>
      <w:numFmt w:val="bullet"/>
      <w:lvlText w:val="•"/>
      <w:lvlJc w:val="left"/>
      <w:pPr>
        <w:tabs>
          <w:tab w:val="num" w:pos="5040"/>
        </w:tabs>
        <w:ind w:left="5040" w:hanging="360"/>
      </w:pPr>
      <w:rPr>
        <w:rFonts w:ascii="Arial" w:hAnsi="Arial" w:hint="default"/>
      </w:rPr>
    </w:lvl>
    <w:lvl w:ilvl="7" w:tplc="45DEB2C2" w:tentative="1">
      <w:start w:val="1"/>
      <w:numFmt w:val="bullet"/>
      <w:lvlText w:val="•"/>
      <w:lvlJc w:val="left"/>
      <w:pPr>
        <w:tabs>
          <w:tab w:val="num" w:pos="5760"/>
        </w:tabs>
        <w:ind w:left="5760" w:hanging="360"/>
      </w:pPr>
      <w:rPr>
        <w:rFonts w:ascii="Arial" w:hAnsi="Arial" w:hint="default"/>
      </w:rPr>
    </w:lvl>
    <w:lvl w:ilvl="8" w:tplc="5AEEE88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2941F83"/>
    <w:multiLevelType w:val="hybridMultilevel"/>
    <w:tmpl w:val="14AA3656"/>
    <w:lvl w:ilvl="0" w:tplc="FFB2F826">
      <w:start w:val="1"/>
      <w:numFmt w:val="bullet"/>
      <w:lvlText w:val="-"/>
      <w:lvlJc w:val="left"/>
      <w:pPr>
        <w:tabs>
          <w:tab w:val="num" w:pos="720"/>
        </w:tabs>
        <w:ind w:left="720" w:hanging="360"/>
      </w:pPr>
      <w:rPr>
        <w:rFonts w:ascii="Times New Roman" w:hAnsi="Times New Roman" w:hint="default"/>
      </w:rPr>
    </w:lvl>
    <w:lvl w:ilvl="1" w:tplc="5DA87586" w:tentative="1">
      <w:start w:val="1"/>
      <w:numFmt w:val="bullet"/>
      <w:lvlText w:val="-"/>
      <w:lvlJc w:val="left"/>
      <w:pPr>
        <w:tabs>
          <w:tab w:val="num" w:pos="1440"/>
        </w:tabs>
        <w:ind w:left="1440" w:hanging="360"/>
      </w:pPr>
      <w:rPr>
        <w:rFonts w:ascii="Times New Roman" w:hAnsi="Times New Roman" w:hint="default"/>
      </w:rPr>
    </w:lvl>
    <w:lvl w:ilvl="2" w:tplc="2D14E86E" w:tentative="1">
      <w:start w:val="1"/>
      <w:numFmt w:val="bullet"/>
      <w:lvlText w:val="-"/>
      <w:lvlJc w:val="left"/>
      <w:pPr>
        <w:tabs>
          <w:tab w:val="num" w:pos="2160"/>
        </w:tabs>
        <w:ind w:left="2160" w:hanging="360"/>
      </w:pPr>
      <w:rPr>
        <w:rFonts w:ascii="Times New Roman" w:hAnsi="Times New Roman" w:hint="default"/>
      </w:rPr>
    </w:lvl>
    <w:lvl w:ilvl="3" w:tplc="66B25BCA" w:tentative="1">
      <w:start w:val="1"/>
      <w:numFmt w:val="bullet"/>
      <w:lvlText w:val="-"/>
      <w:lvlJc w:val="left"/>
      <w:pPr>
        <w:tabs>
          <w:tab w:val="num" w:pos="2880"/>
        </w:tabs>
        <w:ind w:left="2880" w:hanging="360"/>
      </w:pPr>
      <w:rPr>
        <w:rFonts w:ascii="Times New Roman" w:hAnsi="Times New Roman" w:hint="default"/>
      </w:rPr>
    </w:lvl>
    <w:lvl w:ilvl="4" w:tplc="A68E443E" w:tentative="1">
      <w:start w:val="1"/>
      <w:numFmt w:val="bullet"/>
      <w:lvlText w:val="-"/>
      <w:lvlJc w:val="left"/>
      <w:pPr>
        <w:tabs>
          <w:tab w:val="num" w:pos="3600"/>
        </w:tabs>
        <w:ind w:left="3600" w:hanging="360"/>
      </w:pPr>
      <w:rPr>
        <w:rFonts w:ascii="Times New Roman" w:hAnsi="Times New Roman" w:hint="default"/>
      </w:rPr>
    </w:lvl>
    <w:lvl w:ilvl="5" w:tplc="833C0542" w:tentative="1">
      <w:start w:val="1"/>
      <w:numFmt w:val="bullet"/>
      <w:lvlText w:val="-"/>
      <w:lvlJc w:val="left"/>
      <w:pPr>
        <w:tabs>
          <w:tab w:val="num" w:pos="4320"/>
        </w:tabs>
        <w:ind w:left="4320" w:hanging="360"/>
      </w:pPr>
      <w:rPr>
        <w:rFonts w:ascii="Times New Roman" w:hAnsi="Times New Roman" w:hint="default"/>
      </w:rPr>
    </w:lvl>
    <w:lvl w:ilvl="6" w:tplc="218EB090" w:tentative="1">
      <w:start w:val="1"/>
      <w:numFmt w:val="bullet"/>
      <w:lvlText w:val="-"/>
      <w:lvlJc w:val="left"/>
      <w:pPr>
        <w:tabs>
          <w:tab w:val="num" w:pos="5040"/>
        </w:tabs>
        <w:ind w:left="5040" w:hanging="360"/>
      </w:pPr>
      <w:rPr>
        <w:rFonts w:ascii="Times New Roman" w:hAnsi="Times New Roman" w:hint="default"/>
      </w:rPr>
    </w:lvl>
    <w:lvl w:ilvl="7" w:tplc="137257D0" w:tentative="1">
      <w:start w:val="1"/>
      <w:numFmt w:val="bullet"/>
      <w:lvlText w:val="-"/>
      <w:lvlJc w:val="left"/>
      <w:pPr>
        <w:tabs>
          <w:tab w:val="num" w:pos="5760"/>
        </w:tabs>
        <w:ind w:left="5760" w:hanging="360"/>
      </w:pPr>
      <w:rPr>
        <w:rFonts w:ascii="Times New Roman" w:hAnsi="Times New Roman" w:hint="default"/>
      </w:rPr>
    </w:lvl>
    <w:lvl w:ilvl="8" w:tplc="3C6E9CE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6BCC354E"/>
    <w:multiLevelType w:val="hybridMultilevel"/>
    <w:tmpl w:val="767030FA"/>
    <w:lvl w:ilvl="0" w:tplc="5750FC18">
      <w:start w:val="1"/>
      <w:numFmt w:val="bullet"/>
      <w:lvlText w:val="-"/>
      <w:lvlJc w:val="left"/>
      <w:pPr>
        <w:tabs>
          <w:tab w:val="num" w:pos="720"/>
        </w:tabs>
        <w:ind w:left="720" w:hanging="360"/>
      </w:pPr>
      <w:rPr>
        <w:rFonts w:ascii="Times New Roman" w:hAnsi="Times New Roman" w:hint="default"/>
      </w:rPr>
    </w:lvl>
    <w:lvl w:ilvl="1" w:tplc="B9FCB2A4" w:tentative="1">
      <w:start w:val="1"/>
      <w:numFmt w:val="bullet"/>
      <w:lvlText w:val="-"/>
      <w:lvlJc w:val="left"/>
      <w:pPr>
        <w:tabs>
          <w:tab w:val="num" w:pos="1440"/>
        </w:tabs>
        <w:ind w:left="1440" w:hanging="360"/>
      </w:pPr>
      <w:rPr>
        <w:rFonts w:ascii="Times New Roman" w:hAnsi="Times New Roman" w:hint="default"/>
      </w:rPr>
    </w:lvl>
    <w:lvl w:ilvl="2" w:tplc="B0A8CA0E" w:tentative="1">
      <w:start w:val="1"/>
      <w:numFmt w:val="bullet"/>
      <w:lvlText w:val="-"/>
      <w:lvlJc w:val="left"/>
      <w:pPr>
        <w:tabs>
          <w:tab w:val="num" w:pos="2160"/>
        </w:tabs>
        <w:ind w:left="2160" w:hanging="360"/>
      </w:pPr>
      <w:rPr>
        <w:rFonts w:ascii="Times New Roman" w:hAnsi="Times New Roman" w:hint="default"/>
      </w:rPr>
    </w:lvl>
    <w:lvl w:ilvl="3" w:tplc="0AE2C8F2" w:tentative="1">
      <w:start w:val="1"/>
      <w:numFmt w:val="bullet"/>
      <w:lvlText w:val="-"/>
      <w:lvlJc w:val="left"/>
      <w:pPr>
        <w:tabs>
          <w:tab w:val="num" w:pos="2880"/>
        </w:tabs>
        <w:ind w:left="2880" w:hanging="360"/>
      </w:pPr>
      <w:rPr>
        <w:rFonts w:ascii="Times New Roman" w:hAnsi="Times New Roman" w:hint="default"/>
      </w:rPr>
    </w:lvl>
    <w:lvl w:ilvl="4" w:tplc="8E7CAEA0" w:tentative="1">
      <w:start w:val="1"/>
      <w:numFmt w:val="bullet"/>
      <w:lvlText w:val="-"/>
      <w:lvlJc w:val="left"/>
      <w:pPr>
        <w:tabs>
          <w:tab w:val="num" w:pos="3600"/>
        </w:tabs>
        <w:ind w:left="3600" w:hanging="360"/>
      </w:pPr>
      <w:rPr>
        <w:rFonts w:ascii="Times New Roman" w:hAnsi="Times New Roman" w:hint="default"/>
      </w:rPr>
    </w:lvl>
    <w:lvl w:ilvl="5" w:tplc="C81C5A54" w:tentative="1">
      <w:start w:val="1"/>
      <w:numFmt w:val="bullet"/>
      <w:lvlText w:val="-"/>
      <w:lvlJc w:val="left"/>
      <w:pPr>
        <w:tabs>
          <w:tab w:val="num" w:pos="4320"/>
        </w:tabs>
        <w:ind w:left="4320" w:hanging="360"/>
      </w:pPr>
      <w:rPr>
        <w:rFonts w:ascii="Times New Roman" w:hAnsi="Times New Roman" w:hint="default"/>
      </w:rPr>
    </w:lvl>
    <w:lvl w:ilvl="6" w:tplc="BE069392" w:tentative="1">
      <w:start w:val="1"/>
      <w:numFmt w:val="bullet"/>
      <w:lvlText w:val="-"/>
      <w:lvlJc w:val="left"/>
      <w:pPr>
        <w:tabs>
          <w:tab w:val="num" w:pos="5040"/>
        </w:tabs>
        <w:ind w:left="5040" w:hanging="360"/>
      </w:pPr>
      <w:rPr>
        <w:rFonts w:ascii="Times New Roman" w:hAnsi="Times New Roman" w:hint="default"/>
      </w:rPr>
    </w:lvl>
    <w:lvl w:ilvl="7" w:tplc="F214737E" w:tentative="1">
      <w:start w:val="1"/>
      <w:numFmt w:val="bullet"/>
      <w:lvlText w:val="-"/>
      <w:lvlJc w:val="left"/>
      <w:pPr>
        <w:tabs>
          <w:tab w:val="num" w:pos="5760"/>
        </w:tabs>
        <w:ind w:left="5760" w:hanging="360"/>
      </w:pPr>
      <w:rPr>
        <w:rFonts w:ascii="Times New Roman" w:hAnsi="Times New Roman" w:hint="default"/>
      </w:rPr>
    </w:lvl>
    <w:lvl w:ilvl="8" w:tplc="4484C9C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77F70515"/>
    <w:multiLevelType w:val="hybridMultilevel"/>
    <w:tmpl w:val="5C8020B8"/>
    <w:lvl w:ilvl="0" w:tplc="86282F40">
      <w:start w:val="1"/>
      <w:numFmt w:val="bullet"/>
      <w:lvlText w:val="-"/>
      <w:lvlJc w:val="left"/>
      <w:pPr>
        <w:tabs>
          <w:tab w:val="num" w:pos="720"/>
        </w:tabs>
        <w:ind w:left="720" w:hanging="360"/>
      </w:pPr>
      <w:rPr>
        <w:rFonts w:ascii="Times New Roman" w:hAnsi="Times New Roman" w:hint="default"/>
      </w:rPr>
    </w:lvl>
    <w:lvl w:ilvl="1" w:tplc="11AA067A" w:tentative="1">
      <w:start w:val="1"/>
      <w:numFmt w:val="bullet"/>
      <w:lvlText w:val="-"/>
      <w:lvlJc w:val="left"/>
      <w:pPr>
        <w:tabs>
          <w:tab w:val="num" w:pos="1440"/>
        </w:tabs>
        <w:ind w:left="1440" w:hanging="360"/>
      </w:pPr>
      <w:rPr>
        <w:rFonts w:ascii="Times New Roman" w:hAnsi="Times New Roman" w:hint="default"/>
      </w:rPr>
    </w:lvl>
    <w:lvl w:ilvl="2" w:tplc="BB509736" w:tentative="1">
      <w:start w:val="1"/>
      <w:numFmt w:val="bullet"/>
      <w:lvlText w:val="-"/>
      <w:lvlJc w:val="left"/>
      <w:pPr>
        <w:tabs>
          <w:tab w:val="num" w:pos="2160"/>
        </w:tabs>
        <w:ind w:left="2160" w:hanging="360"/>
      </w:pPr>
      <w:rPr>
        <w:rFonts w:ascii="Times New Roman" w:hAnsi="Times New Roman" w:hint="default"/>
      </w:rPr>
    </w:lvl>
    <w:lvl w:ilvl="3" w:tplc="741CB428" w:tentative="1">
      <w:start w:val="1"/>
      <w:numFmt w:val="bullet"/>
      <w:lvlText w:val="-"/>
      <w:lvlJc w:val="left"/>
      <w:pPr>
        <w:tabs>
          <w:tab w:val="num" w:pos="2880"/>
        </w:tabs>
        <w:ind w:left="2880" w:hanging="360"/>
      </w:pPr>
      <w:rPr>
        <w:rFonts w:ascii="Times New Roman" w:hAnsi="Times New Roman" w:hint="default"/>
      </w:rPr>
    </w:lvl>
    <w:lvl w:ilvl="4" w:tplc="E4423760" w:tentative="1">
      <w:start w:val="1"/>
      <w:numFmt w:val="bullet"/>
      <w:lvlText w:val="-"/>
      <w:lvlJc w:val="left"/>
      <w:pPr>
        <w:tabs>
          <w:tab w:val="num" w:pos="3600"/>
        </w:tabs>
        <w:ind w:left="3600" w:hanging="360"/>
      </w:pPr>
      <w:rPr>
        <w:rFonts w:ascii="Times New Roman" w:hAnsi="Times New Roman" w:hint="default"/>
      </w:rPr>
    </w:lvl>
    <w:lvl w:ilvl="5" w:tplc="F05C8F2C" w:tentative="1">
      <w:start w:val="1"/>
      <w:numFmt w:val="bullet"/>
      <w:lvlText w:val="-"/>
      <w:lvlJc w:val="left"/>
      <w:pPr>
        <w:tabs>
          <w:tab w:val="num" w:pos="4320"/>
        </w:tabs>
        <w:ind w:left="4320" w:hanging="360"/>
      </w:pPr>
      <w:rPr>
        <w:rFonts w:ascii="Times New Roman" w:hAnsi="Times New Roman" w:hint="default"/>
      </w:rPr>
    </w:lvl>
    <w:lvl w:ilvl="6" w:tplc="12E8AD96" w:tentative="1">
      <w:start w:val="1"/>
      <w:numFmt w:val="bullet"/>
      <w:lvlText w:val="-"/>
      <w:lvlJc w:val="left"/>
      <w:pPr>
        <w:tabs>
          <w:tab w:val="num" w:pos="5040"/>
        </w:tabs>
        <w:ind w:left="5040" w:hanging="360"/>
      </w:pPr>
      <w:rPr>
        <w:rFonts w:ascii="Times New Roman" w:hAnsi="Times New Roman" w:hint="default"/>
      </w:rPr>
    </w:lvl>
    <w:lvl w:ilvl="7" w:tplc="F028B3C0" w:tentative="1">
      <w:start w:val="1"/>
      <w:numFmt w:val="bullet"/>
      <w:lvlText w:val="-"/>
      <w:lvlJc w:val="left"/>
      <w:pPr>
        <w:tabs>
          <w:tab w:val="num" w:pos="5760"/>
        </w:tabs>
        <w:ind w:left="5760" w:hanging="360"/>
      </w:pPr>
      <w:rPr>
        <w:rFonts w:ascii="Times New Roman" w:hAnsi="Times New Roman" w:hint="default"/>
      </w:rPr>
    </w:lvl>
    <w:lvl w:ilvl="8" w:tplc="39D2912A"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3A1"/>
    <w:rsid w:val="00013332"/>
    <w:rsid w:val="000217DD"/>
    <w:rsid w:val="000473CF"/>
    <w:rsid w:val="0006007A"/>
    <w:rsid w:val="00073B9B"/>
    <w:rsid w:val="000834A9"/>
    <w:rsid w:val="00095BDC"/>
    <w:rsid w:val="000A12F9"/>
    <w:rsid w:val="000A79A6"/>
    <w:rsid w:val="000B73AE"/>
    <w:rsid w:val="000C36A5"/>
    <w:rsid w:val="000F1352"/>
    <w:rsid w:val="000F6635"/>
    <w:rsid w:val="00107043"/>
    <w:rsid w:val="001152ED"/>
    <w:rsid w:val="00126948"/>
    <w:rsid w:val="001915A4"/>
    <w:rsid w:val="00191B81"/>
    <w:rsid w:val="001A23BC"/>
    <w:rsid w:val="001A56C9"/>
    <w:rsid w:val="001D1A68"/>
    <w:rsid w:val="001D227A"/>
    <w:rsid w:val="001D6E47"/>
    <w:rsid w:val="001F44FC"/>
    <w:rsid w:val="00210CFD"/>
    <w:rsid w:val="00215404"/>
    <w:rsid w:val="002368C8"/>
    <w:rsid w:val="00255BA2"/>
    <w:rsid w:val="00262653"/>
    <w:rsid w:val="002652E9"/>
    <w:rsid w:val="00277FDF"/>
    <w:rsid w:val="002A3C3A"/>
    <w:rsid w:val="002C410F"/>
    <w:rsid w:val="002E385D"/>
    <w:rsid w:val="002F1606"/>
    <w:rsid w:val="003543D7"/>
    <w:rsid w:val="00354D8A"/>
    <w:rsid w:val="00357C23"/>
    <w:rsid w:val="003871F2"/>
    <w:rsid w:val="00392A84"/>
    <w:rsid w:val="003944B6"/>
    <w:rsid w:val="003B13A0"/>
    <w:rsid w:val="003B6478"/>
    <w:rsid w:val="003D4A09"/>
    <w:rsid w:val="003F590B"/>
    <w:rsid w:val="00423C60"/>
    <w:rsid w:val="004419CE"/>
    <w:rsid w:val="00450598"/>
    <w:rsid w:val="004567B3"/>
    <w:rsid w:val="00476A94"/>
    <w:rsid w:val="0048170E"/>
    <w:rsid w:val="00484D4C"/>
    <w:rsid w:val="004A1F24"/>
    <w:rsid w:val="004B7EA2"/>
    <w:rsid w:val="004D274A"/>
    <w:rsid w:val="004E2FB5"/>
    <w:rsid w:val="004E37B9"/>
    <w:rsid w:val="004F582F"/>
    <w:rsid w:val="00513EAD"/>
    <w:rsid w:val="005278C3"/>
    <w:rsid w:val="00554202"/>
    <w:rsid w:val="0055535B"/>
    <w:rsid w:val="00555BD8"/>
    <w:rsid w:val="00567DDC"/>
    <w:rsid w:val="00580F67"/>
    <w:rsid w:val="005A3859"/>
    <w:rsid w:val="005E363D"/>
    <w:rsid w:val="005E5ED1"/>
    <w:rsid w:val="005F3BA6"/>
    <w:rsid w:val="005F5EE6"/>
    <w:rsid w:val="005F7B92"/>
    <w:rsid w:val="006028A3"/>
    <w:rsid w:val="00605323"/>
    <w:rsid w:val="00613D91"/>
    <w:rsid w:val="006149C0"/>
    <w:rsid w:val="0063568C"/>
    <w:rsid w:val="0065171C"/>
    <w:rsid w:val="00653207"/>
    <w:rsid w:val="00661FE1"/>
    <w:rsid w:val="0067122B"/>
    <w:rsid w:val="006920DD"/>
    <w:rsid w:val="006A2F57"/>
    <w:rsid w:val="006B480B"/>
    <w:rsid w:val="00717311"/>
    <w:rsid w:val="00740CD9"/>
    <w:rsid w:val="00745226"/>
    <w:rsid w:val="007461B2"/>
    <w:rsid w:val="007601E7"/>
    <w:rsid w:val="007606F0"/>
    <w:rsid w:val="007674C2"/>
    <w:rsid w:val="00781E97"/>
    <w:rsid w:val="00794DFF"/>
    <w:rsid w:val="007D6904"/>
    <w:rsid w:val="007F61CB"/>
    <w:rsid w:val="0084125E"/>
    <w:rsid w:val="008737EB"/>
    <w:rsid w:val="00897C98"/>
    <w:rsid w:val="008C5A69"/>
    <w:rsid w:val="0090451F"/>
    <w:rsid w:val="00907B4D"/>
    <w:rsid w:val="009308DD"/>
    <w:rsid w:val="00956237"/>
    <w:rsid w:val="00964D62"/>
    <w:rsid w:val="00992763"/>
    <w:rsid w:val="00994068"/>
    <w:rsid w:val="00997EFD"/>
    <w:rsid w:val="009D4EF3"/>
    <w:rsid w:val="009E1294"/>
    <w:rsid w:val="009E5263"/>
    <w:rsid w:val="009F2B7A"/>
    <w:rsid w:val="00A07A4E"/>
    <w:rsid w:val="00A10FAD"/>
    <w:rsid w:val="00A12040"/>
    <w:rsid w:val="00A300DA"/>
    <w:rsid w:val="00A30582"/>
    <w:rsid w:val="00A4025B"/>
    <w:rsid w:val="00A4134E"/>
    <w:rsid w:val="00A61433"/>
    <w:rsid w:val="00A630E2"/>
    <w:rsid w:val="00A64C6A"/>
    <w:rsid w:val="00A76195"/>
    <w:rsid w:val="00AA36DB"/>
    <w:rsid w:val="00AA4273"/>
    <w:rsid w:val="00AB51A5"/>
    <w:rsid w:val="00AD16F3"/>
    <w:rsid w:val="00AD46FD"/>
    <w:rsid w:val="00AE72EC"/>
    <w:rsid w:val="00B02275"/>
    <w:rsid w:val="00B14B90"/>
    <w:rsid w:val="00B4003F"/>
    <w:rsid w:val="00B447E4"/>
    <w:rsid w:val="00B70951"/>
    <w:rsid w:val="00B7610B"/>
    <w:rsid w:val="00B77A3D"/>
    <w:rsid w:val="00B90488"/>
    <w:rsid w:val="00B91DFB"/>
    <w:rsid w:val="00BA6208"/>
    <w:rsid w:val="00BB3E72"/>
    <w:rsid w:val="00BC535F"/>
    <w:rsid w:val="00BF1127"/>
    <w:rsid w:val="00BF4E8B"/>
    <w:rsid w:val="00C00EF0"/>
    <w:rsid w:val="00C23A54"/>
    <w:rsid w:val="00C2443A"/>
    <w:rsid w:val="00C31A2A"/>
    <w:rsid w:val="00C861ED"/>
    <w:rsid w:val="00CA5554"/>
    <w:rsid w:val="00CB3E0D"/>
    <w:rsid w:val="00CD7077"/>
    <w:rsid w:val="00CE0BEE"/>
    <w:rsid w:val="00CF4237"/>
    <w:rsid w:val="00CF7546"/>
    <w:rsid w:val="00D0298B"/>
    <w:rsid w:val="00D12D4C"/>
    <w:rsid w:val="00D42524"/>
    <w:rsid w:val="00D45865"/>
    <w:rsid w:val="00D67135"/>
    <w:rsid w:val="00D87C8D"/>
    <w:rsid w:val="00D912F4"/>
    <w:rsid w:val="00D92842"/>
    <w:rsid w:val="00DA13D1"/>
    <w:rsid w:val="00DB0495"/>
    <w:rsid w:val="00DB1870"/>
    <w:rsid w:val="00DC3E22"/>
    <w:rsid w:val="00DC4538"/>
    <w:rsid w:val="00DD2985"/>
    <w:rsid w:val="00E0744D"/>
    <w:rsid w:val="00E117D4"/>
    <w:rsid w:val="00E201B1"/>
    <w:rsid w:val="00E403FC"/>
    <w:rsid w:val="00E71E48"/>
    <w:rsid w:val="00E73EAB"/>
    <w:rsid w:val="00EA5C34"/>
    <w:rsid w:val="00ED03D8"/>
    <w:rsid w:val="00EE7720"/>
    <w:rsid w:val="00EF1427"/>
    <w:rsid w:val="00EF7F3F"/>
    <w:rsid w:val="00F03AA4"/>
    <w:rsid w:val="00F04106"/>
    <w:rsid w:val="00F16AF3"/>
    <w:rsid w:val="00F80CB9"/>
    <w:rsid w:val="00F91A0D"/>
    <w:rsid w:val="00FA43A1"/>
    <w:rsid w:val="00FA6D87"/>
    <w:rsid w:val="00FB0A42"/>
    <w:rsid w:val="00FB415C"/>
    <w:rsid w:val="00FC4CE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6BD2B3EF-7863-4325-94C3-6D64291A2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FA43A1"/>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70364">
      <w:bodyDiv w:val="1"/>
      <w:marLeft w:val="0"/>
      <w:marRight w:val="0"/>
      <w:marTop w:val="0"/>
      <w:marBottom w:val="0"/>
      <w:divBdr>
        <w:top w:val="none" w:sz="0" w:space="0" w:color="auto"/>
        <w:left w:val="none" w:sz="0" w:space="0" w:color="auto"/>
        <w:bottom w:val="none" w:sz="0" w:space="0" w:color="auto"/>
        <w:right w:val="none" w:sz="0" w:space="0" w:color="auto"/>
      </w:divBdr>
    </w:div>
    <w:div w:id="151023262">
      <w:bodyDiv w:val="1"/>
      <w:marLeft w:val="0"/>
      <w:marRight w:val="0"/>
      <w:marTop w:val="0"/>
      <w:marBottom w:val="0"/>
      <w:divBdr>
        <w:top w:val="none" w:sz="0" w:space="0" w:color="auto"/>
        <w:left w:val="none" w:sz="0" w:space="0" w:color="auto"/>
        <w:bottom w:val="none" w:sz="0" w:space="0" w:color="auto"/>
        <w:right w:val="none" w:sz="0" w:space="0" w:color="auto"/>
      </w:divBdr>
    </w:div>
    <w:div w:id="219564331">
      <w:bodyDiv w:val="1"/>
      <w:marLeft w:val="0"/>
      <w:marRight w:val="0"/>
      <w:marTop w:val="0"/>
      <w:marBottom w:val="0"/>
      <w:divBdr>
        <w:top w:val="none" w:sz="0" w:space="0" w:color="auto"/>
        <w:left w:val="none" w:sz="0" w:space="0" w:color="auto"/>
        <w:bottom w:val="none" w:sz="0" w:space="0" w:color="auto"/>
        <w:right w:val="none" w:sz="0" w:space="0" w:color="auto"/>
      </w:divBdr>
    </w:div>
    <w:div w:id="580793930">
      <w:bodyDiv w:val="1"/>
      <w:marLeft w:val="0"/>
      <w:marRight w:val="0"/>
      <w:marTop w:val="0"/>
      <w:marBottom w:val="0"/>
      <w:divBdr>
        <w:top w:val="none" w:sz="0" w:space="0" w:color="auto"/>
        <w:left w:val="none" w:sz="0" w:space="0" w:color="auto"/>
        <w:bottom w:val="none" w:sz="0" w:space="0" w:color="auto"/>
        <w:right w:val="none" w:sz="0" w:space="0" w:color="auto"/>
      </w:divBdr>
    </w:div>
    <w:div w:id="600264948">
      <w:bodyDiv w:val="1"/>
      <w:marLeft w:val="0"/>
      <w:marRight w:val="0"/>
      <w:marTop w:val="0"/>
      <w:marBottom w:val="0"/>
      <w:divBdr>
        <w:top w:val="none" w:sz="0" w:space="0" w:color="auto"/>
        <w:left w:val="none" w:sz="0" w:space="0" w:color="auto"/>
        <w:bottom w:val="none" w:sz="0" w:space="0" w:color="auto"/>
        <w:right w:val="none" w:sz="0" w:space="0" w:color="auto"/>
      </w:divBdr>
      <w:divsChild>
        <w:div w:id="2125995856">
          <w:marLeft w:val="446"/>
          <w:marRight w:val="0"/>
          <w:marTop w:val="0"/>
          <w:marBottom w:val="0"/>
          <w:divBdr>
            <w:top w:val="none" w:sz="0" w:space="0" w:color="auto"/>
            <w:left w:val="none" w:sz="0" w:space="0" w:color="auto"/>
            <w:bottom w:val="none" w:sz="0" w:space="0" w:color="auto"/>
            <w:right w:val="none" w:sz="0" w:space="0" w:color="auto"/>
          </w:divBdr>
        </w:div>
        <w:div w:id="925261446">
          <w:marLeft w:val="446"/>
          <w:marRight w:val="0"/>
          <w:marTop w:val="0"/>
          <w:marBottom w:val="0"/>
          <w:divBdr>
            <w:top w:val="none" w:sz="0" w:space="0" w:color="auto"/>
            <w:left w:val="none" w:sz="0" w:space="0" w:color="auto"/>
            <w:bottom w:val="none" w:sz="0" w:space="0" w:color="auto"/>
            <w:right w:val="none" w:sz="0" w:space="0" w:color="auto"/>
          </w:divBdr>
        </w:div>
        <w:div w:id="466894675">
          <w:marLeft w:val="446"/>
          <w:marRight w:val="0"/>
          <w:marTop w:val="0"/>
          <w:marBottom w:val="0"/>
          <w:divBdr>
            <w:top w:val="none" w:sz="0" w:space="0" w:color="auto"/>
            <w:left w:val="none" w:sz="0" w:space="0" w:color="auto"/>
            <w:bottom w:val="none" w:sz="0" w:space="0" w:color="auto"/>
            <w:right w:val="none" w:sz="0" w:space="0" w:color="auto"/>
          </w:divBdr>
        </w:div>
        <w:div w:id="896470663">
          <w:marLeft w:val="446"/>
          <w:marRight w:val="0"/>
          <w:marTop w:val="0"/>
          <w:marBottom w:val="0"/>
          <w:divBdr>
            <w:top w:val="none" w:sz="0" w:space="0" w:color="auto"/>
            <w:left w:val="none" w:sz="0" w:space="0" w:color="auto"/>
            <w:bottom w:val="none" w:sz="0" w:space="0" w:color="auto"/>
            <w:right w:val="none" w:sz="0" w:space="0" w:color="auto"/>
          </w:divBdr>
        </w:div>
        <w:div w:id="53697149">
          <w:marLeft w:val="446"/>
          <w:marRight w:val="0"/>
          <w:marTop w:val="0"/>
          <w:marBottom w:val="0"/>
          <w:divBdr>
            <w:top w:val="none" w:sz="0" w:space="0" w:color="auto"/>
            <w:left w:val="none" w:sz="0" w:space="0" w:color="auto"/>
            <w:bottom w:val="none" w:sz="0" w:space="0" w:color="auto"/>
            <w:right w:val="none" w:sz="0" w:space="0" w:color="auto"/>
          </w:divBdr>
        </w:div>
        <w:div w:id="175123680">
          <w:marLeft w:val="446"/>
          <w:marRight w:val="0"/>
          <w:marTop w:val="0"/>
          <w:marBottom w:val="0"/>
          <w:divBdr>
            <w:top w:val="none" w:sz="0" w:space="0" w:color="auto"/>
            <w:left w:val="none" w:sz="0" w:space="0" w:color="auto"/>
            <w:bottom w:val="none" w:sz="0" w:space="0" w:color="auto"/>
            <w:right w:val="none" w:sz="0" w:space="0" w:color="auto"/>
          </w:divBdr>
        </w:div>
        <w:div w:id="1327780150">
          <w:marLeft w:val="446"/>
          <w:marRight w:val="0"/>
          <w:marTop w:val="0"/>
          <w:marBottom w:val="0"/>
          <w:divBdr>
            <w:top w:val="none" w:sz="0" w:space="0" w:color="auto"/>
            <w:left w:val="none" w:sz="0" w:space="0" w:color="auto"/>
            <w:bottom w:val="none" w:sz="0" w:space="0" w:color="auto"/>
            <w:right w:val="none" w:sz="0" w:space="0" w:color="auto"/>
          </w:divBdr>
        </w:div>
      </w:divsChild>
    </w:div>
    <w:div w:id="662048277">
      <w:bodyDiv w:val="1"/>
      <w:marLeft w:val="0"/>
      <w:marRight w:val="0"/>
      <w:marTop w:val="0"/>
      <w:marBottom w:val="0"/>
      <w:divBdr>
        <w:top w:val="none" w:sz="0" w:space="0" w:color="auto"/>
        <w:left w:val="none" w:sz="0" w:space="0" w:color="auto"/>
        <w:bottom w:val="none" w:sz="0" w:space="0" w:color="auto"/>
        <w:right w:val="none" w:sz="0" w:space="0" w:color="auto"/>
      </w:divBdr>
    </w:div>
    <w:div w:id="726494930">
      <w:bodyDiv w:val="1"/>
      <w:marLeft w:val="0"/>
      <w:marRight w:val="0"/>
      <w:marTop w:val="0"/>
      <w:marBottom w:val="0"/>
      <w:divBdr>
        <w:top w:val="none" w:sz="0" w:space="0" w:color="auto"/>
        <w:left w:val="none" w:sz="0" w:space="0" w:color="auto"/>
        <w:bottom w:val="none" w:sz="0" w:space="0" w:color="auto"/>
        <w:right w:val="none" w:sz="0" w:space="0" w:color="auto"/>
      </w:divBdr>
      <w:divsChild>
        <w:div w:id="1152527919">
          <w:marLeft w:val="547"/>
          <w:marRight w:val="0"/>
          <w:marTop w:val="0"/>
          <w:marBottom w:val="0"/>
          <w:divBdr>
            <w:top w:val="none" w:sz="0" w:space="0" w:color="auto"/>
            <w:left w:val="none" w:sz="0" w:space="0" w:color="auto"/>
            <w:bottom w:val="none" w:sz="0" w:space="0" w:color="auto"/>
            <w:right w:val="none" w:sz="0" w:space="0" w:color="auto"/>
          </w:divBdr>
        </w:div>
        <w:div w:id="611086301">
          <w:marLeft w:val="547"/>
          <w:marRight w:val="0"/>
          <w:marTop w:val="0"/>
          <w:marBottom w:val="0"/>
          <w:divBdr>
            <w:top w:val="none" w:sz="0" w:space="0" w:color="auto"/>
            <w:left w:val="none" w:sz="0" w:space="0" w:color="auto"/>
            <w:bottom w:val="none" w:sz="0" w:space="0" w:color="auto"/>
            <w:right w:val="none" w:sz="0" w:space="0" w:color="auto"/>
          </w:divBdr>
        </w:div>
      </w:divsChild>
    </w:div>
    <w:div w:id="860317095">
      <w:bodyDiv w:val="1"/>
      <w:marLeft w:val="0"/>
      <w:marRight w:val="0"/>
      <w:marTop w:val="0"/>
      <w:marBottom w:val="0"/>
      <w:divBdr>
        <w:top w:val="none" w:sz="0" w:space="0" w:color="auto"/>
        <w:left w:val="none" w:sz="0" w:space="0" w:color="auto"/>
        <w:bottom w:val="none" w:sz="0" w:space="0" w:color="auto"/>
        <w:right w:val="none" w:sz="0" w:space="0" w:color="auto"/>
      </w:divBdr>
    </w:div>
    <w:div w:id="929117142">
      <w:bodyDiv w:val="1"/>
      <w:marLeft w:val="0"/>
      <w:marRight w:val="0"/>
      <w:marTop w:val="0"/>
      <w:marBottom w:val="0"/>
      <w:divBdr>
        <w:top w:val="none" w:sz="0" w:space="0" w:color="auto"/>
        <w:left w:val="none" w:sz="0" w:space="0" w:color="auto"/>
        <w:bottom w:val="none" w:sz="0" w:space="0" w:color="auto"/>
        <w:right w:val="none" w:sz="0" w:space="0" w:color="auto"/>
      </w:divBdr>
    </w:div>
    <w:div w:id="1076440617">
      <w:bodyDiv w:val="1"/>
      <w:marLeft w:val="0"/>
      <w:marRight w:val="0"/>
      <w:marTop w:val="0"/>
      <w:marBottom w:val="0"/>
      <w:divBdr>
        <w:top w:val="none" w:sz="0" w:space="0" w:color="auto"/>
        <w:left w:val="none" w:sz="0" w:space="0" w:color="auto"/>
        <w:bottom w:val="none" w:sz="0" w:space="0" w:color="auto"/>
        <w:right w:val="none" w:sz="0" w:space="0" w:color="auto"/>
      </w:divBdr>
    </w:div>
    <w:div w:id="1084112591">
      <w:bodyDiv w:val="1"/>
      <w:marLeft w:val="0"/>
      <w:marRight w:val="0"/>
      <w:marTop w:val="0"/>
      <w:marBottom w:val="0"/>
      <w:divBdr>
        <w:top w:val="none" w:sz="0" w:space="0" w:color="auto"/>
        <w:left w:val="none" w:sz="0" w:space="0" w:color="auto"/>
        <w:bottom w:val="none" w:sz="0" w:space="0" w:color="auto"/>
        <w:right w:val="none" w:sz="0" w:space="0" w:color="auto"/>
      </w:divBdr>
    </w:div>
    <w:div w:id="1084182477">
      <w:bodyDiv w:val="1"/>
      <w:marLeft w:val="0"/>
      <w:marRight w:val="0"/>
      <w:marTop w:val="0"/>
      <w:marBottom w:val="0"/>
      <w:divBdr>
        <w:top w:val="none" w:sz="0" w:space="0" w:color="auto"/>
        <w:left w:val="none" w:sz="0" w:space="0" w:color="auto"/>
        <w:bottom w:val="none" w:sz="0" w:space="0" w:color="auto"/>
        <w:right w:val="none" w:sz="0" w:space="0" w:color="auto"/>
      </w:divBdr>
    </w:div>
    <w:div w:id="1279795143">
      <w:bodyDiv w:val="1"/>
      <w:marLeft w:val="0"/>
      <w:marRight w:val="0"/>
      <w:marTop w:val="0"/>
      <w:marBottom w:val="0"/>
      <w:divBdr>
        <w:top w:val="none" w:sz="0" w:space="0" w:color="auto"/>
        <w:left w:val="none" w:sz="0" w:space="0" w:color="auto"/>
        <w:bottom w:val="none" w:sz="0" w:space="0" w:color="auto"/>
        <w:right w:val="none" w:sz="0" w:space="0" w:color="auto"/>
      </w:divBdr>
    </w:div>
    <w:div w:id="1363749452">
      <w:bodyDiv w:val="1"/>
      <w:marLeft w:val="0"/>
      <w:marRight w:val="0"/>
      <w:marTop w:val="0"/>
      <w:marBottom w:val="0"/>
      <w:divBdr>
        <w:top w:val="none" w:sz="0" w:space="0" w:color="auto"/>
        <w:left w:val="none" w:sz="0" w:space="0" w:color="auto"/>
        <w:bottom w:val="none" w:sz="0" w:space="0" w:color="auto"/>
        <w:right w:val="none" w:sz="0" w:space="0" w:color="auto"/>
      </w:divBdr>
    </w:div>
    <w:div w:id="1371879292">
      <w:bodyDiv w:val="1"/>
      <w:marLeft w:val="0"/>
      <w:marRight w:val="0"/>
      <w:marTop w:val="0"/>
      <w:marBottom w:val="0"/>
      <w:divBdr>
        <w:top w:val="none" w:sz="0" w:space="0" w:color="auto"/>
        <w:left w:val="none" w:sz="0" w:space="0" w:color="auto"/>
        <w:bottom w:val="none" w:sz="0" w:space="0" w:color="auto"/>
        <w:right w:val="none" w:sz="0" w:space="0" w:color="auto"/>
      </w:divBdr>
    </w:div>
    <w:div w:id="1500462535">
      <w:bodyDiv w:val="1"/>
      <w:marLeft w:val="0"/>
      <w:marRight w:val="0"/>
      <w:marTop w:val="0"/>
      <w:marBottom w:val="0"/>
      <w:divBdr>
        <w:top w:val="none" w:sz="0" w:space="0" w:color="auto"/>
        <w:left w:val="none" w:sz="0" w:space="0" w:color="auto"/>
        <w:bottom w:val="none" w:sz="0" w:space="0" w:color="auto"/>
        <w:right w:val="none" w:sz="0" w:space="0" w:color="auto"/>
      </w:divBdr>
    </w:div>
    <w:div w:id="1612320642">
      <w:bodyDiv w:val="1"/>
      <w:marLeft w:val="0"/>
      <w:marRight w:val="0"/>
      <w:marTop w:val="0"/>
      <w:marBottom w:val="0"/>
      <w:divBdr>
        <w:top w:val="none" w:sz="0" w:space="0" w:color="auto"/>
        <w:left w:val="none" w:sz="0" w:space="0" w:color="auto"/>
        <w:bottom w:val="none" w:sz="0" w:space="0" w:color="auto"/>
        <w:right w:val="none" w:sz="0" w:space="0" w:color="auto"/>
      </w:divBdr>
    </w:div>
    <w:div w:id="1623922553">
      <w:bodyDiv w:val="1"/>
      <w:marLeft w:val="0"/>
      <w:marRight w:val="0"/>
      <w:marTop w:val="0"/>
      <w:marBottom w:val="0"/>
      <w:divBdr>
        <w:top w:val="none" w:sz="0" w:space="0" w:color="auto"/>
        <w:left w:val="none" w:sz="0" w:space="0" w:color="auto"/>
        <w:bottom w:val="none" w:sz="0" w:space="0" w:color="auto"/>
        <w:right w:val="none" w:sz="0" w:space="0" w:color="auto"/>
      </w:divBdr>
    </w:div>
    <w:div w:id="1667786978">
      <w:bodyDiv w:val="1"/>
      <w:marLeft w:val="0"/>
      <w:marRight w:val="0"/>
      <w:marTop w:val="0"/>
      <w:marBottom w:val="0"/>
      <w:divBdr>
        <w:top w:val="none" w:sz="0" w:space="0" w:color="auto"/>
        <w:left w:val="none" w:sz="0" w:space="0" w:color="auto"/>
        <w:bottom w:val="none" w:sz="0" w:space="0" w:color="auto"/>
        <w:right w:val="none" w:sz="0" w:space="0" w:color="auto"/>
      </w:divBdr>
    </w:div>
    <w:div w:id="1704939840">
      <w:bodyDiv w:val="1"/>
      <w:marLeft w:val="0"/>
      <w:marRight w:val="0"/>
      <w:marTop w:val="0"/>
      <w:marBottom w:val="0"/>
      <w:divBdr>
        <w:top w:val="none" w:sz="0" w:space="0" w:color="auto"/>
        <w:left w:val="none" w:sz="0" w:space="0" w:color="auto"/>
        <w:bottom w:val="none" w:sz="0" w:space="0" w:color="auto"/>
        <w:right w:val="none" w:sz="0" w:space="0" w:color="auto"/>
      </w:divBdr>
    </w:div>
    <w:div w:id="1724787827">
      <w:bodyDiv w:val="1"/>
      <w:marLeft w:val="0"/>
      <w:marRight w:val="0"/>
      <w:marTop w:val="0"/>
      <w:marBottom w:val="0"/>
      <w:divBdr>
        <w:top w:val="none" w:sz="0" w:space="0" w:color="auto"/>
        <w:left w:val="none" w:sz="0" w:space="0" w:color="auto"/>
        <w:bottom w:val="none" w:sz="0" w:space="0" w:color="auto"/>
        <w:right w:val="none" w:sz="0" w:space="0" w:color="auto"/>
      </w:divBdr>
    </w:div>
    <w:div w:id="1801653014">
      <w:bodyDiv w:val="1"/>
      <w:marLeft w:val="0"/>
      <w:marRight w:val="0"/>
      <w:marTop w:val="0"/>
      <w:marBottom w:val="0"/>
      <w:divBdr>
        <w:top w:val="none" w:sz="0" w:space="0" w:color="auto"/>
        <w:left w:val="none" w:sz="0" w:space="0" w:color="auto"/>
        <w:bottom w:val="none" w:sz="0" w:space="0" w:color="auto"/>
        <w:right w:val="none" w:sz="0" w:space="0" w:color="auto"/>
      </w:divBdr>
      <w:divsChild>
        <w:div w:id="1324746132">
          <w:marLeft w:val="446"/>
          <w:marRight w:val="0"/>
          <w:marTop w:val="0"/>
          <w:marBottom w:val="0"/>
          <w:divBdr>
            <w:top w:val="none" w:sz="0" w:space="0" w:color="auto"/>
            <w:left w:val="none" w:sz="0" w:space="0" w:color="auto"/>
            <w:bottom w:val="none" w:sz="0" w:space="0" w:color="auto"/>
            <w:right w:val="none" w:sz="0" w:space="0" w:color="auto"/>
          </w:divBdr>
        </w:div>
        <w:div w:id="747728294">
          <w:marLeft w:val="446"/>
          <w:marRight w:val="0"/>
          <w:marTop w:val="0"/>
          <w:marBottom w:val="0"/>
          <w:divBdr>
            <w:top w:val="none" w:sz="0" w:space="0" w:color="auto"/>
            <w:left w:val="none" w:sz="0" w:space="0" w:color="auto"/>
            <w:bottom w:val="none" w:sz="0" w:space="0" w:color="auto"/>
            <w:right w:val="none" w:sz="0" w:space="0" w:color="auto"/>
          </w:divBdr>
        </w:div>
        <w:div w:id="1305088763">
          <w:marLeft w:val="446"/>
          <w:marRight w:val="0"/>
          <w:marTop w:val="0"/>
          <w:marBottom w:val="0"/>
          <w:divBdr>
            <w:top w:val="none" w:sz="0" w:space="0" w:color="auto"/>
            <w:left w:val="none" w:sz="0" w:space="0" w:color="auto"/>
            <w:bottom w:val="none" w:sz="0" w:space="0" w:color="auto"/>
            <w:right w:val="none" w:sz="0" w:space="0" w:color="auto"/>
          </w:divBdr>
        </w:div>
        <w:div w:id="853493708">
          <w:marLeft w:val="446"/>
          <w:marRight w:val="0"/>
          <w:marTop w:val="0"/>
          <w:marBottom w:val="0"/>
          <w:divBdr>
            <w:top w:val="none" w:sz="0" w:space="0" w:color="auto"/>
            <w:left w:val="none" w:sz="0" w:space="0" w:color="auto"/>
            <w:bottom w:val="none" w:sz="0" w:space="0" w:color="auto"/>
            <w:right w:val="none" w:sz="0" w:space="0" w:color="auto"/>
          </w:divBdr>
        </w:div>
      </w:divsChild>
    </w:div>
    <w:div w:id="1880776913">
      <w:bodyDiv w:val="1"/>
      <w:marLeft w:val="0"/>
      <w:marRight w:val="0"/>
      <w:marTop w:val="0"/>
      <w:marBottom w:val="0"/>
      <w:divBdr>
        <w:top w:val="none" w:sz="0" w:space="0" w:color="auto"/>
        <w:left w:val="none" w:sz="0" w:space="0" w:color="auto"/>
        <w:bottom w:val="none" w:sz="0" w:space="0" w:color="auto"/>
        <w:right w:val="none" w:sz="0" w:space="0" w:color="auto"/>
      </w:divBdr>
    </w:div>
    <w:div w:id="1928685643">
      <w:bodyDiv w:val="1"/>
      <w:marLeft w:val="0"/>
      <w:marRight w:val="0"/>
      <w:marTop w:val="0"/>
      <w:marBottom w:val="0"/>
      <w:divBdr>
        <w:top w:val="none" w:sz="0" w:space="0" w:color="auto"/>
        <w:left w:val="none" w:sz="0" w:space="0" w:color="auto"/>
        <w:bottom w:val="none" w:sz="0" w:space="0" w:color="auto"/>
        <w:right w:val="none" w:sz="0" w:space="0" w:color="auto"/>
      </w:divBdr>
      <w:divsChild>
        <w:div w:id="1977105072">
          <w:marLeft w:val="360"/>
          <w:marRight w:val="0"/>
          <w:marTop w:val="200"/>
          <w:marBottom w:val="0"/>
          <w:divBdr>
            <w:top w:val="none" w:sz="0" w:space="0" w:color="auto"/>
            <w:left w:val="none" w:sz="0" w:space="0" w:color="auto"/>
            <w:bottom w:val="none" w:sz="0" w:space="0" w:color="auto"/>
            <w:right w:val="none" w:sz="0" w:space="0" w:color="auto"/>
          </w:divBdr>
        </w:div>
        <w:div w:id="1241284087">
          <w:marLeft w:val="360"/>
          <w:marRight w:val="0"/>
          <w:marTop w:val="200"/>
          <w:marBottom w:val="0"/>
          <w:divBdr>
            <w:top w:val="none" w:sz="0" w:space="0" w:color="auto"/>
            <w:left w:val="none" w:sz="0" w:space="0" w:color="auto"/>
            <w:bottom w:val="none" w:sz="0" w:space="0" w:color="auto"/>
            <w:right w:val="none" w:sz="0" w:space="0" w:color="auto"/>
          </w:divBdr>
        </w:div>
        <w:div w:id="153452159">
          <w:marLeft w:val="360"/>
          <w:marRight w:val="0"/>
          <w:marTop w:val="200"/>
          <w:marBottom w:val="0"/>
          <w:divBdr>
            <w:top w:val="none" w:sz="0" w:space="0" w:color="auto"/>
            <w:left w:val="none" w:sz="0" w:space="0" w:color="auto"/>
            <w:bottom w:val="none" w:sz="0" w:space="0" w:color="auto"/>
            <w:right w:val="none" w:sz="0" w:space="0" w:color="auto"/>
          </w:divBdr>
        </w:div>
        <w:div w:id="1663701902">
          <w:marLeft w:val="360"/>
          <w:marRight w:val="0"/>
          <w:marTop w:val="200"/>
          <w:marBottom w:val="0"/>
          <w:divBdr>
            <w:top w:val="none" w:sz="0" w:space="0" w:color="auto"/>
            <w:left w:val="none" w:sz="0" w:space="0" w:color="auto"/>
            <w:bottom w:val="none" w:sz="0" w:space="0" w:color="auto"/>
            <w:right w:val="none" w:sz="0" w:space="0" w:color="auto"/>
          </w:divBdr>
        </w:div>
        <w:div w:id="2072461444">
          <w:marLeft w:val="360"/>
          <w:marRight w:val="0"/>
          <w:marTop w:val="200"/>
          <w:marBottom w:val="0"/>
          <w:divBdr>
            <w:top w:val="none" w:sz="0" w:space="0" w:color="auto"/>
            <w:left w:val="none" w:sz="0" w:space="0" w:color="auto"/>
            <w:bottom w:val="none" w:sz="0" w:space="0" w:color="auto"/>
            <w:right w:val="none" w:sz="0" w:space="0" w:color="auto"/>
          </w:divBdr>
        </w:div>
        <w:div w:id="1274168374">
          <w:marLeft w:val="360"/>
          <w:marRight w:val="0"/>
          <w:marTop w:val="200"/>
          <w:marBottom w:val="0"/>
          <w:divBdr>
            <w:top w:val="none" w:sz="0" w:space="0" w:color="auto"/>
            <w:left w:val="none" w:sz="0" w:space="0" w:color="auto"/>
            <w:bottom w:val="none" w:sz="0" w:space="0" w:color="auto"/>
            <w:right w:val="none" w:sz="0" w:space="0" w:color="auto"/>
          </w:divBdr>
        </w:div>
        <w:div w:id="611591874">
          <w:marLeft w:val="360"/>
          <w:marRight w:val="0"/>
          <w:marTop w:val="200"/>
          <w:marBottom w:val="0"/>
          <w:divBdr>
            <w:top w:val="none" w:sz="0" w:space="0" w:color="auto"/>
            <w:left w:val="none" w:sz="0" w:space="0" w:color="auto"/>
            <w:bottom w:val="none" w:sz="0" w:space="0" w:color="auto"/>
            <w:right w:val="none" w:sz="0" w:space="0" w:color="auto"/>
          </w:divBdr>
        </w:div>
      </w:divsChild>
    </w:div>
    <w:div w:id="1936668206">
      <w:bodyDiv w:val="1"/>
      <w:marLeft w:val="0"/>
      <w:marRight w:val="0"/>
      <w:marTop w:val="0"/>
      <w:marBottom w:val="0"/>
      <w:divBdr>
        <w:top w:val="none" w:sz="0" w:space="0" w:color="auto"/>
        <w:left w:val="none" w:sz="0" w:space="0" w:color="auto"/>
        <w:bottom w:val="none" w:sz="0" w:space="0" w:color="auto"/>
        <w:right w:val="none" w:sz="0" w:space="0" w:color="auto"/>
      </w:divBdr>
    </w:div>
    <w:div w:id="2075197696">
      <w:bodyDiv w:val="1"/>
      <w:marLeft w:val="0"/>
      <w:marRight w:val="0"/>
      <w:marTop w:val="0"/>
      <w:marBottom w:val="0"/>
      <w:divBdr>
        <w:top w:val="none" w:sz="0" w:space="0" w:color="auto"/>
        <w:left w:val="none" w:sz="0" w:space="0" w:color="auto"/>
        <w:bottom w:val="none" w:sz="0" w:space="0" w:color="auto"/>
        <w:right w:val="none" w:sz="0" w:space="0" w:color="auto"/>
      </w:divBdr>
    </w:div>
    <w:div w:id="211937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9</Pages>
  <Words>1346</Words>
  <Characters>7675</Characters>
  <Application>Microsoft Office Word</Application>
  <DocSecurity>0</DocSecurity>
  <Lines>63</Lines>
  <Paragraphs>18</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9003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g.nac@tiscali.it</dc:creator>
  <cp:keywords/>
  <dc:description/>
  <cp:lastModifiedBy>g.nac@tiscali.it</cp:lastModifiedBy>
  <cp:revision>6</cp:revision>
  <dcterms:created xsi:type="dcterms:W3CDTF">2021-09-08T10:11:00Z</dcterms:created>
  <dcterms:modified xsi:type="dcterms:W3CDTF">2021-09-08T11:17:00Z</dcterms:modified>
  <cp:contentStatus>Finale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